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akcīzes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"509" ar skaitli "555";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skaitli "594" ar skaitli "640";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skaitli "414" ar skaitli "464";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"285" ar skaitli "343";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6.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7. punktā skaitli "15,65" ar skaitli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skaitļus un vārdus "60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(turpmāk — kurināmais)" ar skaitļiem un vārdiem "135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 (turpmāk —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skaitli "0" ar skaitli "88".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akcīzes nodokļa (turpmāk - AN) likmes palielinājumu marķētai dīzeļdegvielai, ko izmanto lauksaimniecībā un zivsaimniecībā. Paskaidrojam, ka šobrīd likuma "Par akcīzes nodokli" 14.panta 2.</w:t>
            </w:r>
            <w:r w:rsidR="00000000" w:rsidRPr="00000000" w:rsidDel="00000000">
              <w:rPr>
                <w:vertAlign w:val="superscript"/>
                <w:rtl w:val="0"/>
              </w:rPr>
              <w:t xml:space="preserve">2</w:t>
            </w:r>
            <w:r w:rsidR="00000000" w:rsidRPr="00000000" w:rsidDel="00000000">
              <w:rPr>
                <w:rtl w:val="0"/>
              </w:rPr>
              <w:t xml:space="preserve"> daļā noteikts, ka AN likmes apmērs marķētai dīzeļdegvielai, ko izmanto lauksaimniecībā un zivsaimniecībā, ir 15% no AN standartlikmes. Ievērojot to, ka likumprojekts paredz paaugstināt AN standartlikmi dīzeļdegvielai, tad, nemainot likuma 14.panta 2.</w:t>
            </w:r>
            <w:r w:rsidR="00000000" w:rsidRPr="00000000" w:rsidDel="00000000">
              <w:rPr>
                <w:vertAlign w:val="superscript"/>
                <w:rtl w:val="0"/>
              </w:rPr>
              <w:t xml:space="preserve">2</w:t>
            </w:r>
            <w:r w:rsidR="00000000" w:rsidRPr="00000000" w:rsidDel="00000000">
              <w:rPr>
                <w:rtl w:val="0"/>
              </w:rPr>
              <w:t xml:space="preserve">  daļas redakciju, palielināsies arī AN likme dīzeļdegvielai, ko izmanto lauksaimniecībā un zivsaimniecībā.  Saskaņā ar likumprojekta redakciju paredzēts palielināt AN likmi marķētai dīzeļdegvielai, ko izmanto lauksaimniecībā un zivsaimniecībā no 62,10 </w:t>
            </w:r>
            <w:r w:rsidR="00000000" w:rsidRPr="00000000" w:rsidDel="00000000">
              <w:rPr>
                <w:i w:val="1"/>
                <w:rtl w:val="0"/>
              </w:rPr>
              <w:t xml:space="preserve">euro</w:t>
            </w:r>
            <w:r w:rsidR="00000000" w:rsidRPr="00000000" w:rsidDel="00000000">
              <w:rPr>
                <w:rtl w:val="0"/>
              </w:rPr>
              <w:t xml:space="preserve"> /1000 litriem 2024.gadā uz 66,08 </w:t>
            </w:r>
            <w:r w:rsidR="00000000" w:rsidRPr="00000000" w:rsidDel="00000000">
              <w:rPr>
                <w:i w:val="1"/>
                <w:rtl w:val="0"/>
              </w:rPr>
              <w:t xml:space="preserve">euro</w:t>
            </w:r>
            <w:r w:rsidR="00000000" w:rsidRPr="00000000" w:rsidDel="00000000">
              <w:rPr>
                <w:rtl w:val="0"/>
              </w:rPr>
              <w:t xml:space="preserve"> / 1000 litriem 2025.gadā un 70,05 </w:t>
            </w:r>
            <w:r w:rsidR="00000000" w:rsidRPr="00000000" w:rsidDel="00000000">
              <w:rPr>
                <w:i w:val="1"/>
                <w:rtl w:val="0"/>
              </w:rPr>
              <w:t xml:space="preserve">euro</w:t>
            </w:r>
            <w:r w:rsidR="00000000" w:rsidRPr="00000000" w:rsidDel="00000000">
              <w:rPr>
                <w:rtl w:val="0"/>
              </w:rPr>
              <w:t xml:space="preserve"> / 1000 litriem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saskaņā ar Eiropas Parlamenta un Padomes 2023. gada 10. maija Direktīvu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dalībvalstīm ir dotas tiesības izvēlēties vai ETS2 tvērumā iekļaut lauksaimniecības, zvejniecības un mežsaimniecības sektorus, vai tās atstāt ārpus ETS2 tvēruma. Latvija ir izvēlējusies minētās nozares atstāt ārpus ETS2 tvēruma. Turklāt AN palielināšana līdz 2027. gadam, lai radītu mērenāku pāreju uz ETS2 ietvarā paredzēto fosilās degvielas cenas pieaugumu nav obligāta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saglabāt AN likmi marķētai dīzeļdegvielai, ko izmanto lauksaimniecībā un zivsaimniecībā esošajā apmērā - 62,10 </w:t>
            </w:r>
            <w:r w:rsidR="00000000" w:rsidRPr="00000000" w:rsidDel="00000000">
              <w:rPr>
                <w:i w:val="1"/>
                <w:rtl w:val="0"/>
              </w:rPr>
              <w:t xml:space="preserve">euro</w:t>
            </w:r>
            <w:r w:rsidR="00000000" w:rsidRPr="00000000" w:rsidDel="00000000">
              <w:rPr>
                <w:rtl w:val="0"/>
              </w:rPr>
              <w:t xml:space="preserve">/1000 litriem.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likuma "Par akcīzes nodokli" 14.panta 2.</w:t>
            </w:r>
            <w:r w:rsidR="00000000" w:rsidRPr="00000000" w:rsidDel="00000000">
              <w:rPr>
                <w:vertAlign w:val="superscript"/>
                <w:rtl w:val="0"/>
              </w:rPr>
              <w:t xml:space="preserve">2</w:t>
            </w:r>
            <w:r w:rsidR="00000000" w:rsidRPr="00000000" w:rsidDel="00000000">
              <w:rPr>
                <w:rtl w:val="0"/>
              </w:rPr>
              <w:t xml:space="preserve"> daļu, izsakot to šādā redakcijā: "(2</w:t>
            </w:r>
            <w:r w:rsidR="00000000" w:rsidRPr="00000000" w:rsidDel="00000000">
              <w:rPr>
                <w:vertAlign w:val="superscript"/>
                <w:rtl w:val="0"/>
              </w:rPr>
              <w:t xml:space="preserve">2</w:t>
            </w:r>
            <w:r w:rsidR="00000000" w:rsidRPr="00000000" w:rsidDel="00000000">
              <w:rPr>
                <w:rtl w:val="0"/>
              </w:rPr>
              <w:t xml:space="preserve">) Dīzeļdegvielai (gāzeļļai) un tādai dīzeļdegvielai (gāzeļļai), kurai ir pievienota biodīzeļdegviela, kas pilnībā iegūta no biomasas, vai parafinizēta dīzeļdegviela, kas iegūta no biomasas, un attiecīgie naftas produkti tiek iezīmēti (marķēti) saskaņā ar šā likuma 28. pantu, ja tos izmanto atbilstoši šā likuma 18. panta piektajā vai 6.</w:t>
            </w:r>
            <w:r w:rsidR="00000000" w:rsidRPr="00000000" w:rsidDel="00000000">
              <w:rPr>
                <w:vertAlign w:val="superscript"/>
                <w:rtl w:val="0"/>
              </w:rPr>
              <w:t xml:space="preserve">4</w:t>
            </w:r>
            <w:r w:rsidR="00000000" w:rsidRPr="00000000" w:rsidDel="00000000">
              <w:rPr>
                <w:rtl w:val="0"/>
              </w:rPr>
              <w:t xml:space="preserve"> daļā minētajam veidam, mērķiem un nosacījumiem, nodokli aprēķina pēc likmes 62,10 euro par 1000 litriem."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Dabasgāzei nodokli aprēķina pēc šādām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izmantošanai par degvielu — 13,45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izmantošanai par kurināmo —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izmantošanai par kurināmo —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ja galalietotājs ir Eiropas Savienības Emisiju tirdzniecības sistēmas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izmantošanai par kurināmo rūpnieciskās ražošanas un citos ar ražošanu saistītos procesos, lauksaimniecības izejvielu pirmapstrādes tehnoloģisko iekārtu darbināšanai un tehnoloģiski nepieciešamā klimata nodrošināšanai rūpnieciskās ražošanas un lauksaimniecības izejvielu pirmapstrādes telpās — 4,60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izmantošanai par kurināmo —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lauksaimniecībā izmantojamās zemes segto platību (siltumnīcu) siltumapgādei atbilstoši regulas Nr.  1893/2006 I pielikuma A sadaļas "Lauksaimniecība, mežsaimniecība un zivsaimniecība" 01. nodaļas 01.1. grupas 01.13. un 01.19. klasē un 01.2. grupas 01.25. un 01.28.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rūpniecisko mājputnu novietņu (kūts) un inkubatoru siltumapgādei atbilstoši regulas Nr.  1893/2006 I pielikuma A sadaļas "Lauksaimniecība, mežsaimniecība un zivsaimniecība" 01. nodaļas 01.4. grupas 01.47.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vārdus "3. punkta "a" apakšpunkta" ar skaitli un vārdu "4.punkta";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trešajā daļā skaitli un vārdu "3. punkts" ar skaitli un vārdu "4. un 5.punkts"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 "3. punktā" ar skaitli un vārdu "4. un 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akcīzes nodokļa (turpmāk - AN) likmes palielinājumu dabasgāzei, ko izmanto kā kurināmo lauksaimniecības izejvielu pirmapstrādes tehnoloģisko iekārtu darbināšanai no 0,55 euro/1 MWH līdz pat 4,60 euro par vienu megavatstundu (MWh), ņemot vērā dabasgāzes augstāko siltumspēju 2026.gadā. Šāds AN likmes kāpums ir nesamērīgs, jo AN likme pieaugs astoņas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par nepamatotu šādu AN likmju kāpumu, jo tā rezultātā pieaugs dabasgāzes cenas, kas viennozīmīgi atstās ietekmi gan uz lauksaimniecības produkcijas ražotājiem, pārtikas produkcijas ražotājiem un citiem apstrādes rūpniecības uzņēmējiem, kuri kā kurināmo izmanto dabasgāzi. Ražotāji, sadārdzinoties ražošanas izmaksām, būs spiesti izmaksu kāpumu pārnest uz saražotās produkcijas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saskaņā ar Eiropas Parlamenta un Padomes 2023. gada 10. maija Direktīvu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dalībvalstīm ir dotas tiesības izvēlēties vai ETS2 tvērumā iekļaut lauksaimniecības, zvejniecības un mežsaimniecības sektorus, vai tās atstāt ārpus ETS2 tvēruma. Latvija ir izvēlējusies minētās nozares atstāt ārpus ETS2 tvēruma. Turklāt AN palielināšana līdz 2027. gadam, lai radītu mērenāku pāreju uz ETS2 ietvarā paredzēto fosilās degvielas cenas pieaugumu nav obligāta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AN likme dabasgāzei, ko izmanto par kurināmo rūpnieciskās ražošanas un citos ar ražošanu saistītos procesos, lauksaimniecības izejvielu pirmapstrādes tehnoloģisko iekārtu darbināšanai un tehnoloģiski nepieciešamā klimata nodrošināšanai rūpnieciskās ražošanas un lauksaimniecības izejvielu pirmapstrādes telpās ir jāsaglabā esošā apmērā - 0,55 euro / 1 MWH.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un likuma "Par akcīzes nodokli" 15.</w:t>
            </w:r>
            <w:r w:rsidR="00000000" w:rsidRPr="00000000" w:rsidDel="00000000">
              <w:rPr>
                <w:vertAlign w:val="superscript"/>
                <w:rtl w:val="0"/>
              </w:rPr>
              <w:t xml:space="preserve">1</w:t>
            </w:r>
            <w:r w:rsidR="00000000" w:rsidRPr="00000000" w:rsidDel="00000000">
              <w:rPr>
                <w:rtl w:val="0"/>
              </w:rPr>
              <w:t xml:space="preserve"> panta pirmās daļas 4.punktu izteikt šādā redakcijā: "4) izmantošanai par kurināmo rūpnieciskās ražošanas un citos ar ražošanu saistītos procesos, lauksaimniecības izejvielu pirmapstrādes tehnoloģisko iekārtu darbināšanai un tehnoloģiski nepieciešamā klimata nodrošināšanai rūpnieciskās ražošanas un lauksaimniecības izejvielu pirmapstrādes telpās — 0,55 euro par vienu megavatstundu (MWh), ņemot vērā dabasgāzes augstāko siltumspēju;"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Dabasgāzei nodokli aprēķina pēc šādām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izmantošanai par degvielu — 13,45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izmantošanai par kurināmo —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izmantošanai par kurināmo —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ja galalietotājs ir Eiropas Savienības Emisiju tirdzniecības sistēmas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izmantošanai par kurināmo rūpnieciskās ražošanas un citos ar ražošanu saistītos procesos, lauksaimniecības izejvielu pirmapstrādes tehnoloģisko iekārtu darbināšanai un tehnoloģiski nepieciešamā klimata nodrošināšanai rūpnieciskās ražošanas un lauksaimniecības izejvielu pirmapstrādes telpās — 4,60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izmantošanai par kurināmo —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lauksaimniecībā izmantojamās zemes segto platību (siltumnīcu) siltumapgādei atbilstoši regulas Nr.  1893/2006 I pielikuma A sadaļas "Lauksaimniecība, mežsaimniecība un zivsaimniecība" 01. nodaļas 01.1. grupas 01.13. un 01.19. klasē un 01.2. grupas 01.25. un 01.28.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rūpniecisko mājputnu novietņu (kūts) un inkubatoru siltumapgādei atbilstoši regulas Nr.  1893/2006 I pielikuma A sadaļas "Lauksaimniecība, mežsaimniecība un zivsaimniecība" 01. nodaļas 01.4. grupas 01.47.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vārdus "3. punkta "a" apakšpunkta" ar skaitli un vārdu "4.punkta";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trešajā daļā skaitli un vārdu "3. punkts" ar skaitli un vārdu "4. un 5.punkts"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 "3. punktā" ar skaitli un vārdu "4. un 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akcīzes nodokļa (turpmāk - AN) likmes palielinājumu dabasgāzei, ko izmanto kā kurināmo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lauksaimniecībā izmantojamās zemes segto platību (siltumnīcu)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rūpniecisko mājputnu novietņu (kūts) un inkubatoru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saskaņā ar Eiropas Parlamenta un Padomes 2023. gada 10. maija Direktīvu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dalībvalstīm ir dotas tiesības izvēlēties vai ETS2 tvērumā iekļaut lauksaimniecības, zvejniecības un mežsaimniecības sektorus, vai tās atstāt ārpus ETS2 tvēruma. Latvija ir izvēlējusies minētās nozares atstāt ārpus ETS2 tvēruma. Turklāt AN palielināšana līdz 2027. gadam, lai radītu mērenāku pāreju uz ETS2 ietvarā paredzēto fosilās degvielas cenas pieaugumu nav obligāta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AN likmi dabasgāzei, ko izmanto kā kurināmo lauksaimniecībā, esošajā apmērā - 0,55 </w:t>
            </w:r>
            <w:r w:rsidR="00000000" w:rsidRPr="00000000" w:rsidDel="00000000">
              <w:rPr>
                <w:i w:val="1"/>
                <w:rtl w:val="0"/>
              </w:rPr>
              <w:t xml:space="preserve">euro</w:t>
            </w:r>
            <w:r w:rsidR="00000000" w:rsidRPr="00000000" w:rsidDel="00000000">
              <w:rPr>
                <w:rtl w:val="0"/>
              </w:rPr>
              <w:t xml:space="preserve">/1 MWh.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paredzot, ka likuma "Par akcīzes nodokli" 15.</w:t>
            </w:r>
            <w:r w:rsidR="00000000" w:rsidRPr="00000000" w:rsidDel="00000000">
              <w:rPr>
                <w:vertAlign w:val="superscript"/>
                <w:rtl w:val="0"/>
              </w:rPr>
              <w:t xml:space="preserve">1</w:t>
            </w:r>
            <w:r w:rsidR="00000000" w:rsidRPr="00000000" w:rsidDel="00000000">
              <w:rPr>
                <w:rtl w:val="0"/>
              </w:rPr>
              <w:t xml:space="preserve"> panta pirmās daļas 5.punkta ievaddaļa ir izteikta šādā redakcijā: "5) izmantošanai par kurināmo — 0,55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Karlapa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plānoto AN paaugstinājumu 2027. gadā naftas produktiem, kurus izmanto degvielai, jo tas neatbilst sākotnēji izvirzītajam mērķim nodrošināt pakāpenisku pielāgošanos ETS2 komponentes vērtībai. AN palielinājuma un ETS2 izmaksu kopējā ietekme uz tādām mežsaimniecības jomām kā kokmateriālu transports, uz kurām attieksies ETS2 piemaksa, varētu radīt ievērojamu finansiālu slogu, kas Latviju varētu nostādīt neizdevīgākā situācijā salīdzinājumā ar citām valstīm. Aicinām pārskatīt 2027. gada akcīzes nodokļa likmi, lai tā atbilstu mērķim pakāpeniski pielāgoties ETS2.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Rupeika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24-TA-2236</w:t>
    </w:r>
    <w:r>
      <w:br/>
    </w:r>
    <w:r w:rsidR="00000000" w:rsidRPr="00000000" w:rsidDel="00000000">
      <w:rPr>
        <w:rtl w:val="0"/>
      </w:rPr>
      <w:t xml:space="preserve">Izdrukāts 03.10.2024.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24-TA-2236</w:t>
    </w:r>
    <w:r>
      <w:br/>
    </w:r>
    <w:r w:rsidR="00000000" w:rsidRPr="00000000" w:rsidDel="00000000">
      <w:rPr>
        <w:rtl w:val="0"/>
      </w:rPr>
      <w:t xml:space="preserve">Izdrukāts 03.10.2024.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Atzinumi_24-TA-2236.docx</dc:title>
</cp:coreProperties>
</file>

<file path=docProps/custom.xml><?xml version="1.0" encoding="utf-8"?>
<Properties xmlns="http://schemas.openxmlformats.org/officeDocument/2006/custom-properties" xmlns:vt="http://schemas.openxmlformats.org/officeDocument/2006/docPropsVTypes"/>
</file>