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prioritārais projekts –  šo noteikumu ietvaros saņemtie projekta iesniedzēju projektu pieteikumi, kas kvalificējas šo noteikumu atbalsta saņemšanas nosacījumiem un tiek īstenots kādā no Inovatīvas uzņēmējdarbības un prioritāro projektu atbalsta likuma 3.panta pirmās daļas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neskaidrot terminu "prioritārais projekts", kurš skaidrots augstāka juridiskā spēka normatīvajā aktā - Inovatīvas uzņēmējdarbības un prioritāro projektu atbalsta likuma 1. panta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programmas īstenošanai ir pieejams finansējums atbilstoši valsts budžetā paredzētajam finansējumam, tajā skaitā šo noteikumu </w:t>
            </w:r>
            <w:r w:rsidR="00000000" w:rsidRPr="00000000" w:rsidDel="00000000">
              <w:rPr>
                <w:rtl w:val="0"/>
              </w:rPr>
              <w:t xml:space="preserve">8.</w:t>
            </w:r>
            <w:r w:rsidR="00000000" w:rsidRPr="00000000" w:rsidDel="00000000">
              <w:rPr>
                <w:rtl w:val="0"/>
              </w:rPr>
              <w:t xml:space="preserve"> punktā minētajām attiecināmajām izmaksām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 punktā izsmeļoši noteikt, kam paredzēts finansējums, vai svītrot vārdus: "tajā skaitā šo noteikumu 8. punktā minētajām attiecināmajām izmaksām un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8.9.5. dalība nozares profesionālajos pasākumos, kas ietver šādas izmaksas: pasākuma vai izstādes organizatora noteiktā pasākuma vai izstādes reģistrācijas vai dalības maksa (ieejas biļete dalībnieka trim darbiniekiem), nomas maksa par stenda konstrukciju un ekspozīcijas laukumu, maksa par stenda noformējumu, mārketinga pakalpojumu izmaksas (dalībnieka informācijas izvietošana izstādes katalogā, speciālā preses izdevumā, pasākuma vai izstādes norises telpās), kā arī pasākuma vai izstādes organizatora noteiktās citas izmaksas un ar pasākumu vai izstādi saistītā pakalpojuma sniedzēja papildpakalpojumu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konkrētais regulējums nav ietverams atsevišķā punktā, jo pirmšķietami attiecīgās darbības neizpaužas kā atbalsta nodrošināšana starptautisku izstāžu organizēšanai Latvijā, bet gan kā dalība citu subjektu organizētos pasākumos. Tostarp lūdzam arī izvērtēt, vai konkrētais regulējums jau nedublē noteikumu projekta 8.1. apakšpunktā minētās izmaksas.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100 000 euro par šo noteikumu </w:t>
            </w:r>
            <w:r w:rsidR="00000000" w:rsidRPr="00000000" w:rsidDel="00000000">
              <w:rPr>
                <w:rtl w:val="0"/>
              </w:rPr>
              <w:t xml:space="preserve">8.9.</w:t>
            </w:r>
            <w:r w:rsidR="00000000" w:rsidRPr="00000000" w:rsidDel="00000000">
              <w:rPr>
                <w:rtl w:val="0"/>
              </w:rPr>
              <w:t xml:space="preserve"> apakšpunktā minēto darbību un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nedublējot noteikumu projekta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w:t>
            </w:r>
            <w:r w:rsidR="00000000" w:rsidRPr="00000000" w:rsidDel="00000000">
              <w:rPr>
                <w:rtl w:val="0"/>
              </w:rPr>
              <w:t xml:space="preserve">8.8.</w:t>
            </w:r>
            <w:r w:rsidR="00000000" w:rsidRPr="00000000" w:rsidDel="00000000">
              <w:rPr>
                <w:rtl w:val="0"/>
              </w:rPr>
              <w:t xml:space="preserve"> apakšpunktā minēto darbību atbalsta saņemšanas vērtēšanas kritēriji, kuri tiek vērtēti, piešķirot punktus. Minimālais punktu skaits, kas jāsaņem, ir 9 punkti šādos kritērijos: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10. punktā teikumu: "Šo noteikumu  8.1., 8.2., 8.3., 8.4., 8.5.,  8.6., 8.7. un  8.8. apakšpunktā minēto darbību atbalsta saņemšanas vērtēšanas kritēriji, kuri tiek vērtēti, piešķirot punktus", izsakot to kā tiesību normu, nevis punkta nosaukumu, kādus Ministru kabineta noteikumos neietver. Papildus lūdzam precizēt noteikumu projekta 10. un arī 11. punktu, lai būtu nepārprotami skaidrs, ka saskaņā ar vērtēšanas kritērijiem tiek vērtēti projekta pieteikumi, nevis atsevišķas atbalstāmās darbības, jo pretējā gadījumā nav nepārprotami skaidra projekta pieteikumu izvērtēšanas un arī sarindošanas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neatbilst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2. punktā ir ietverti terminu skaidrojumi, nevis prasības, tādēļ lūdzam precizēt noteikumu projekta 18.1. apakšpunktā ietverto atsauci, nodrošinot skaidras tiesību normas. Ja nepieciešams, lūdzam termina "projekta iesniedzējs" skaidrojumu svītrot, noteikumu projektu papildinot ar attiecīgām prasībām projekta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Aģentūrai šo noteikumu ietvaros ir attiecināmās izmaksas Aģentūras valsts noteiktās funkcijas īstenošanai saskaņā ar Ministru kabineta 2012. gada 11. decembra noteikumiem Nr. 857 "Latvijas Investīciju un attīstības aģentūras nolikums" 3.1. un 3.5. apakšpunktos noteiktajām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svītrot vai precizēt noteikumu projekta 19. punktu, jo no noteikumu projekta neizriet, kas ir domāts ar valsts noteiktās funkcijas īstenošanu. Turklāt vēršam uzmanību, ka Ministru kabineta 2012. gada 11. decembra noteikumu Nr. 857 "Latvijas Investīciju un attīstības aģentūras nolikums"  9. punktā jau ir regulēta iestādes finansēšanas kārtība, tādēļ konkrētais regulējums pirmšķietami nav nepieciešams, ņemot vērā arī noteikumu projekta 5. punktā ietverto regulējumu (no kura izriet, ka atbalsta programmas īstenošanai ir pieejams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Aģentūra ne vēlāk kā viena mēneša laikā pirms atlases uzsākšanas izstrādā un publicē  atbalsta saņēmēju atlases kārtību un komercdarbības atbalsta  piešķiršanas nosacījumus (tai skaitā pieejamo atbalsta apjomu) un uzskaiti. Informāciju par iespēju pieteikties atbalstam Aģentūra valsts platformā biznesa attīstībai www.business.gov.lv, norādot projekta pieteikumu iesniegšanas termiņu. Atlases kārtībai pievieno projekta pieteikuma veidlapu un citu iesniedzamo dokumentu veidlapas.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saņēmēju atlases kārtība, komercdarbības atbalsta  piešķiršanas nosacījumi  un uzskaite jānosaka Ministru kabinetam, nevis Aģentūrai, un ar Ministru kabineta noteikumiem nevar veikt pārpilnvarojumu, tādēļ lūdzam izvērtēt un precizēt noteikumu projekta 21. punktu, kā arī papildināt noteikumu projektu ar attiecīgu tiesisko regulējumu. Līdzīgi lūdzam precizēt noteikumu projekta 22. punktu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atbalstam par šo noteikumu </w:t>
            </w:r>
            <w:r w:rsidR="00000000" w:rsidRPr="00000000" w:rsidDel="00000000">
              <w:rPr>
                <w:rtl w:val="0"/>
              </w:rPr>
              <w:t xml:space="preserve">8.</w:t>
            </w:r>
            <w:r w:rsidR="00000000" w:rsidRPr="00000000" w:rsidDel="00000000">
              <w:rPr>
                <w:rtl w:val="0"/>
              </w:rPr>
              <w:t xml:space="preserve"> punktā minētajām darbībām un izmaksām piesakās atbilstoši projekta pieteikumu atlases noteiktajām prasībām. Elektroniski izveidotu projekta pieteikumu strukturētā formā iesniedz valsts platformā biznesa attīstībai www.business.gov.lv., pievienojot šādu informāciju un dokumentus: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noteikumu projekta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punkts veido pretrunu ar Administratīvā procesa likuma 56.panta pirmo daļu, kurā noteikts, ka iesniegumu var iesniegt mutvārdos vai rakstveidā, arī elektroniski bez droša elektroniskā paraksta, ja iestāde nodrošina, ka fiziskās personas identitāte ir pārbaudīta saskaņā ar Fizisko personu elektroniskās identifikācijas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 procesa likuma 3.panta pirmo daļu šo likumu piemēro administratīvajā procesā iestādē, ciktāl </w:t>
            </w:r>
            <w:r w:rsidR="00000000" w:rsidRPr="00000000" w:rsidDel="00000000">
              <w:rPr>
                <w:u w:val="single"/>
                <w:rtl w:val="0"/>
              </w:rPr>
              <w:t xml:space="preserve">citu likumu</w:t>
            </w:r>
            <w:r w:rsidR="00000000" w:rsidRPr="00000000" w:rsidDel="00000000">
              <w:rPr>
                <w:rtl w:val="0"/>
              </w:rPr>
              <w:t xml:space="preserve"> speciālajās tiesību normās nav noteikta cita kārtība. Proti, no Administratīvā procesa likuma regulējuma atšķirīgu regulējumu var noteikt tikai citā speciālajā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piešķir atklātas projektu pieteikumu atlases veidā. Projektu iesniedzēju projekta pieteikumu iesniegšana ir atvērta līdz brīdim, kamēr pieejams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5. un 24. punkta neizriet nepārprotami finansējuma pieejamības nosacījumi (konkrēts pieejamā finansējuma apjoms un brīdis, līdz kuram finansējums pieejams), ņemot vērā arī to, ka finansējums nav pieejams vien projekta pieteikumu attiecināmo izmaksu segšanai, bet arī Aģentūrai to attiecināmo izmaksu segšanai, savukārt no noteikumu projekta 21. punkta izriet, ka tiek paredzēts konkrēts projekta pieteikumu iesniegšanas termiņš, nesaistot to ar finansējuma pieejamību. Ievērojot minēto, lūdzam precizēt minētos punktus vai sniegt attiecīgu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Aģentūrai ir pienākums izstrādāt iekšējo kārtību par atbalsta piešķiršanu, projektu atlasi, atbalsta uzskaiti, un piešķirtā atbalsta izlietojuma un neatbilstošo izdevumu atgūšanas nosacījumiem un kārtību saņemtā atbalsta atmaksāšanai.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Administratīvā procesa likuma 16.panta pirmo daļu iekšējais normatīvais akts ir saistošs tam publisko tiesību subjektam, kas šo aktu izdevis, kā arī šim publisko tiesību subjektam padotajām institūcijām. </w:t>
            </w:r>
            <w:r w:rsidR="00000000" w:rsidRPr="00000000" w:rsidDel="00000000">
              <w:rPr>
                <w:u w:val="single"/>
                <w:rtl w:val="0"/>
              </w:rPr>
              <w:t xml:space="preserve">Privātpersonām iekšējais normatīvais akts nav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Valsts pārvaldes iekārtas likuma 72.panta pirmās daļas 1.punktu iestādes vadītājs iekšējos normatīvos aktus izdod pats pēc savas iniciatīvas savas kompetences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73.panta pirmo daļu publiskas personas orgāns un amatpersona savas kompetences ietvaros var izdot iekšējos normatīvos aktus par: 1) iestādes, iestādes izveidotās koleģiālās institūcijas vai struktūrvienības uzbūvi un darba organizāciju (nolikums, reglaments); 2) </w:t>
            </w:r>
            <w:r w:rsidR="00000000" w:rsidRPr="00000000" w:rsidDel="00000000">
              <w:rPr>
                <w:u w:val="single"/>
                <w:rtl w:val="0"/>
              </w:rPr>
              <w:t xml:space="preserve">ārējo normatīvo aktu vai vispārējo tiesību principu piemērošanu</w:t>
            </w:r>
            <w:r w:rsidR="00000000" w:rsidRPr="00000000" w:rsidDel="00000000">
              <w:rPr>
                <w:rtl w:val="0"/>
              </w:rPr>
              <w:t xml:space="preserve"> (instrukcija); 3) </w:t>
            </w:r>
            <w:r w:rsidR="00000000" w:rsidRPr="00000000" w:rsidDel="00000000">
              <w:rPr>
                <w:u w:val="single"/>
                <w:rtl w:val="0"/>
              </w:rPr>
              <w:t xml:space="preserve">normatīvajos aktos piešķirtās rīcības brīvības izmantošanu</w:t>
            </w:r>
            <w:r w:rsidR="00000000" w:rsidRPr="00000000" w:rsidDel="00000000">
              <w:rPr>
                <w:rtl w:val="0"/>
              </w:rPr>
              <w:t xml:space="preserve">, nosakot vienveidīgu rīcību vienādos gadījumos (ieteikumi); 4) pārvaldes lēmuma pieņemšanas procedūru, pārvaldes amatpersonu un citu darbinieku pienākumu pildīšanu, uzvedības noteikumiem, darba aizsardzību iestādē, kā arī citiem jautājumiem, kas attiecas uz iestādes darbību (iekšējie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likumdevējs saskaņā ar Inovatīvas uzņēmējdarbības un prioritāro projektu atbalsta likuma 4.panta otrās daļas 4.punktu ir pilnvarojis Ministru kabinetu noteikt neatbilstošo izdevumu atgūšanas nosacījumus un kārtību. Tādējādi projektā ir ietverams regulējums par neatbilstošo izdevumu atgūšanas nosacījumiem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Aģentūra saskaņā ar tās iekšējo kārtību nodrošina projektu uzraudzību, lai projekta dzīves ciklā ar saimniecisko darbību nesaistīts projekts nekļūst par tādu, kas saistīts ar saimniecisko darbību, kurai sniegtais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(turpmāk - noteikumi Nr. 108) 131. punktu, lūdzam svītrot atsauci uz iekšējo kārtību. Līdzīgi lūdzam precizēt noteikumu projekta 25.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Atbalsta saņēmējam visā prioritārā projekta dzīves ciklā ir pienākums informēt Aģentūru, ja ar saimniecisko darbību nesaistīts projekts projekta dzīves ciklā kļūst par projektu, kas saistīts ar saimniecisko darbību, kurai sniegtais atbalsts būtu kvalificējams kā komercdarbības atbalsts, vai citiem nosacījumiem, kas var ietekmēt atbalsta saņemšanas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vairāki nosacījumi attiecināmi vienīgi uz prioritārajiem projektiem, nevis visiem projektiem. Alternatīvi lūdzam izvērtēt un noteikumu projektā lietot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tiek pārkāpti Komisijas regulas Nr. 2023/2831 nosacījumi, gala labuma guvējam ir pienākums atmaksāt atbalsta sniedzējam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projekta ietvaros ir gala labuma guvēji un atbalsta sniedzēji, ņemot vērā, ka iepriekš no noteikumu projektā ietvertā regulējuma izriet, ka atbalsta sniedzēja ir vienīgi Aģentūra, līdz ar to pirmšķietami nav saprotams pamatojums lietot atšķirīgu terminoloģiju.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paredzēts izpildīt Inovatīvas uzņēmējdarbības un prioritāro projektu atbalsta likuma 3. panta ceturtajā daļā ietverto pilnvarojumu attiecībā uz noteikumu projektā minētajiem prioritārajiem projektiem, kas (proti, pilnvarojums) pirmšķietami ir cieši saistīts ar minētā likuma 4. panta otrajā daļā paredzēto pilnvarojumu. Alternatīvi lūdzam noteikumu projekta anotācijā skaidrot pamatojumu,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Atbalsta programmas īstenošanai ir pieejams finansējums atbilstoši valsts budžetā paredzētajam finansējumam, tajā skaitā šo noteikumu </w:t>
            </w:r>
            <w:r w:rsidR="00000000" w:rsidRPr="00000000" w:rsidDel="00000000">
              <w:rPr>
                <w:rtl w:val="0"/>
              </w:rPr>
              <w:t xml:space="preserve">8.</w:t>
            </w:r>
            <w:r w:rsidR="00000000" w:rsidRPr="00000000" w:rsidDel="00000000">
              <w:rPr>
                <w:rtl w:val="0"/>
              </w:rPr>
              <w:t xml:space="preserve"> punktā minētajām attiecināmajām izmaksām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darbībām", jo tie ir lieki, kā arī neskaidri, ņemot vērā, ka noteikumu projektā lietots termins "atbalstāmās darbības", nevis attiecināmās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kā atbalsts, kas nekvalificējas kā komercdarbības atbalsts. Atbalsts nekvalificējas kā komercdarbības atbalsts, ja projekta iesniedzējam paredzētais atbalsts tiek sniegts darbībām, kas nav saistītas ar saimnieciskās darbības veikšanu vai tāds atbalsts, kuru piešķirot, tas neatbilst vismaz vienai komercdarbības atbalstu raksturojošajai pazīmei.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6.2. apakšpunkta otro teikumu ("jo īpaši norādi " tāds atbalsts, kuru piešķirot, tas neatbilst vismaz vienai komercdarbības atbalstu raksturojošajai pazīmei") kā Komercdarbības atbalsta kontroles likumā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oficiālā organizatora un tā saistītā pakalpojuma sniedzēja noteiktās mārketinga pakalpojumu izmaksas, kā dalībnieka informācijas izvietošana izstādes katalogā, speciālā preses izdevumā, pasākuma norises telpās, un citas ar izstādes stendu saistītas papildpakalpojuma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kādas vēl citas ar izstādes stendu saistītas papildpakalpojuma izmaksas ir attiecināmas, nepieciešamības gadījumā minot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dalība Aģentūras organizētajos nacionālajos stendos ārvalstīs, tirdzniecības misijās un Latvijas augstu valsts amatpersonu vizītēs: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kas ir saprotams ar Latvijas augstām valsts amatpersonām, tādējādi izvairoties no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dalība Aģentūras organizētās ienākošajās uzņēmējdarbības vizītēs Latvijā (dalības maksa, ja Aģentūra to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8.8. apakšpunktu, termina "uzņēmumdarbības” vietā izmantojot terminu "komercdarbības" vai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atbalsta saņēmēja neto apgrozījums lielāks par 1 000 000 euro (5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līdz brīdim, kad ir pieņemts lēmums par atbalsta piešķiršanu, lietot terminu "projekta iesniedzējs", nevis "atbalsta saņēmējs", ievērojot noteikumu projektā ietvertā termina "atbalsta saņēmējs"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nozaru dalījums pēc tehnoloģiju/zināšanu intensitātes (Eurostat klasifikācijas):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simbolu "/" (arī vārdus un pieturzīmi "un(vai)") aizstāt ar saikli "un" vai saikli "vai”, jo no noteikumu projekta nav skaidrs, vai ar simbolu "/" tiek saprasts saiklis "un" vai saiklis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attiecināmo izmaksu ietvaros ir attiecināms pievienotās vērtības nodoklis attiecināmajām izmaksām,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vārdus "attiecināmajām izmaksām",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Atbalstu piešķir atklātas projektu pieteikumu atlases veidā. Projektu iesniedzēju projekta pieteikumu iesniegšana ir atvērta līdz brīdim, kamēr pieejams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iesniedzējus atlasa atklātas projektu pieteikumu atlases veidā. Projektu iesniedzēju projekta pieteikumus var iesniegt līdz brīdim, kamēr pieejams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 šo noteikumu </w:t>
            </w:r>
            <w:r w:rsidR="00000000" w:rsidRPr="00000000" w:rsidDel="00000000">
              <w:rPr>
                <w:rtl w:val="0"/>
              </w:rPr>
              <w:t xml:space="preserve">26.</w:t>
            </w:r>
            <w:r w:rsidR="00000000" w:rsidRPr="00000000" w:rsidDel="00000000">
              <w:rPr>
                <w:rtl w:val="0"/>
              </w:rPr>
              <w:t xml:space="preserve"> punktā minēto lēmumu pieņem ievērojot Komisijas regulas Nr. 2023/2831 7. panta 3. punktā un 8. pantā noteikto darbības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36. punktu ietvert noteikumu projekta nodaļā "Atbalsta programmas īstenošanas nosacījumi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115. punktu noslēguma jautājumos nosaka pārejas kārtību no pastāvošā tiesiskā regulējuma uz jauno tiesisko regulējumu.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nolūkā aicinām precizēt noteikumu projekta 36. punktu, norādot, vai 36. punkts attiecas uz lēmumu par 6.1.apakšpunktā vai 6.2.apakšpunktā minētā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20.08.2025.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20.08.2025.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