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15. septembra noteikumos Nr. 1065 "Noteikumi par aizdevumiem sīko (mikro), mazo un vidējo saimnieciskās darbības veicēju un lauksaimniecības un mežsaimniecības pakalpojumu kooperatīvo sabiedrību attīstības veicināšanai"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(Programmas novērtējums)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tam, iesniedzot pieteikumu šo noteikumu </w:t>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15.</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22.</w:t>
            </w:r>
            <w:r w:rsidR="00000000" w:rsidRPr="00000000" w:rsidDel="00000000">
              <w:rPr>
                <w:rtl w:val="0"/>
              </w:rPr>
              <w:t xml:space="preserve">, </w:t>
            </w:r>
            <w:r w:rsidR="00000000" w:rsidRPr="00000000" w:rsidDel="00000000">
              <w:rPr>
                <w:rtl w:val="0"/>
              </w:rPr>
              <w:t xml:space="preserve">22.</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30.</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30.</w:t>
            </w:r>
            <w:r w:rsidR="00000000" w:rsidRPr="00000000" w:rsidDel="00000000">
              <w:rPr>
                <w:vertAlign w:val="superscript"/>
                <w:rtl w:val="0"/>
              </w:rPr>
              <w:t xml:space="preserve">10</w:t>
            </w:r>
            <w:r w:rsidR="00000000" w:rsidRPr="00000000" w:rsidDel="00000000">
              <w:rPr>
                <w:rtl w:val="0"/>
              </w:rPr>
              <w:t xml:space="preserve">, </w:t>
            </w:r>
            <w:r w:rsidR="00000000" w:rsidRPr="00000000" w:rsidDel="00000000">
              <w:rPr>
                <w:rtl w:val="0"/>
              </w:rPr>
              <w:t xml:space="preserve">30.</w:t>
            </w:r>
            <w:r w:rsidR="00000000" w:rsidRPr="00000000" w:rsidDel="00000000">
              <w:rPr>
                <w:vertAlign w:val="superscript"/>
                <w:rtl w:val="0"/>
              </w:rPr>
              <w:t xml:space="preserve">11</w:t>
            </w:r>
            <w:r w:rsidR="00000000" w:rsidRPr="00000000" w:rsidDel="00000000">
              <w:rPr>
                <w:rtl w:val="0"/>
              </w:rPr>
              <w:t xml:space="preserve"> vai </w:t>
            </w:r>
            <w:r w:rsidR="00000000" w:rsidRPr="00000000" w:rsidDel="00000000">
              <w:rPr>
                <w:rtl w:val="0"/>
              </w:rPr>
              <w:t xml:space="preserve">30.</w:t>
            </w:r>
            <w:r w:rsidR="00000000" w:rsidRPr="00000000" w:rsidDel="00000000">
              <w:rPr>
                <w:vertAlign w:val="superscript"/>
                <w:rtl w:val="0"/>
              </w:rPr>
              <w:t xml:space="preserve">15</w:t>
            </w:r>
            <w:r w:rsidR="00000000" w:rsidRPr="00000000" w:rsidDel="00000000">
              <w:rPr>
                <w:rtl w:val="0"/>
              </w:rPr>
              <w:t xml:space="preserve"> </w:t>
            </w:r>
            <w:r w:rsidR="00000000" w:rsidRPr="00000000" w:rsidDel="00000000">
              <w:rPr>
                <w:vertAlign w:val="superscript"/>
                <w:rtl w:val="0"/>
              </w:rPr>
              <w:t xml:space="preserve">14</w:t>
            </w:r>
            <w:r w:rsidR="00000000" w:rsidRPr="00000000" w:rsidDel="00000000">
              <w:rPr>
                <w:rtl w:val="0"/>
              </w:rPr>
              <w:t xml:space="preserve"> punktā</w:t>
            </w:r>
            <w:r w:rsidR="00000000" w:rsidRPr="00000000" w:rsidDel="00000000">
              <w:rPr>
                <w:rtl w:val="0"/>
              </w:rPr>
              <w:t xml:space="preserve"> minētajam aizdevumam, ar tiesas spriedumu ir pasludināts maksātnespējas process vai tiek īstenots tiesiskās aizsardzības process, ar tiesas lēmumu tiek īstenots ārpustiesas tiesiskās aizsardzības process, ir uzsākta bankrota procedūra, piemērota sanācija vai mierizlīgums, tā saimnieciskā darbība ir izbeigta vai tas atbilst normatīvajos aktos noteiktajiem kritērijiem, lai tam pēc kreditoru pieprasījuma pieprasītu maksātnespējas procedūru (atbilstību šim nosacījumam apliecina aizņēmēja sabiedrībā "Altum" iesniegts apliecinājums);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10.2. apakšpunkta regulējums neatbilst Maksātnespējas likumam, ņemot vērā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lūdzam precizēt noteikumu projekta 10.2. apakšpunktā lietoto terminoloģiju atbilstoši Maksātnespējas likumā lietotajai: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dzēšot atsauci uz sanāciju un mierizlīgumu, jo šādi maksātnespējas risinājumi nav paredzēti spēkā esošajā Maksātnespējas likumā.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dzēšot formulējumu "uzsākta bankrota procedūra". Proti, spēkā esošais Maksātnespējas likums juridiskās personas maksātnespējas procesā neparedz bankrota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attiecībā uz normā ietverto formulējumu "vai saimnieciskās darbības veicēji atbilst normatīvajos aktos noteiktajiem kritērijiem, uz kuriem pamatojoties kreditors var pieprasīt maksātnespējas procedūru" norādām, ka jēdziens "maksātnespējas procedūra" netiek lietots maksātnespējas jomu regulējošos nacionālajos normatīvajos aktos. Proti, tas tiek lietots Eiropas Savienības tiesību aktos. Turklāt šī jēdziena tvērums tajos ir plašāks – aptverot arī tiesiskās aizsardzības procesu. Papildu norādām, ka Maksātnespējas likuma 57. panta pirmajā daļā ietvertas juridiskās personas maksātnespējas procesa pasludināšanas pazīmes. Vēršam uzmanību apstāklim, ka atsevišķu pazīmju konstatēšana var būt problemātiska, jo par tām var pastāvēt strīds par tiesībām. Piemēram, Maksātnespējas likuma 57. panta pirmās daļas 2., 3., 4., 5.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attiecīgi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r w:rsidR="00000000" w:rsidRPr="00000000" w:rsidDel="00000000">
              <w:rPr>
                <w:vertAlign w:val="superscript"/>
                <w:rtl w:val="0"/>
              </w:rPr>
              <w:t xml:space="preserve">38</w:t>
            </w:r>
            <w:r w:rsidR="00000000" w:rsidRPr="00000000" w:rsidDel="00000000">
              <w:rPr>
                <w:rtl w:val="0"/>
              </w:rPr>
              <w:t xml:space="preserve"> Atbilstoši Komisijas regulas Nr.651/2014 38. a panta 5.punktam,  izmaksas, kas nav tieši saistītas ar augstāka energoefektivitātes līmeņa sasniegšanu ēkā, nav attiecināmās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projektā 30.</w:t>
            </w:r>
            <w:r w:rsidR="00000000" w:rsidRPr="00000000" w:rsidDel="00000000">
              <w:rPr>
                <w:vertAlign w:val="superscript"/>
                <w:rtl w:val="0"/>
              </w:rPr>
              <w:t xml:space="preserve">38</w:t>
            </w:r>
            <w:r w:rsidR="00000000" w:rsidRPr="00000000" w:rsidDel="00000000">
              <w:rPr>
                <w:rtl w:val="0"/>
              </w:rPr>
              <w:t xml:space="preserve"> punktā ir pārrakstīts Eiropas Komisijas 2014. gada 17. jūnija Regulas (ES) Nr. 651/2014, ar ko noteiktas atbalsta kategorijas atzīst par saderīgām ar iekšējo tirgu, piemērojot Līguma 107. un 108. pantu (turpmāk - Regula Nr.651/2014) 38.a. panta 5.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Eiropas Savienības regulu prasības ir aizliegts pārrakstīt nacionālajā normatīvajā aktā.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minētais punkts dublē noteikumu projekta  30.</w:t>
            </w:r>
            <w:r w:rsidR="00000000" w:rsidRPr="00000000" w:rsidDel="00000000">
              <w:rPr>
                <w:vertAlign w:val="superscript"/>
                <w:rtl w:val="0"/>
              </w:rPr>
              <w:t xml:space="preserve">35</w:t>
            </w:r>
            <w:r w:rsidR="00000000" w:rsidRPr="00000000" w:rsidDel="00000000">
              <w:rPr>
                <w:rtl w:val="0"/>
              </w:rPr>
              <w:t xml:space="preserve">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noteikumu projekta 30.</w:t>
            </w:r>
            <w:r w:rsidR="00000000" w:rsidRPr="00000000" w:rsidDel="00000000">
              <w:rPr>
                <w:vertAlign w:val="superscript"/>
                <w:rtl w:val="0"/>
              </w:rPr>
              <w:t xml:space="preserve">38</w:t>
            </w:r>
            <w:r w:rsidR="00000000" w:rsidRPr="00000000" w:rsidDel="00000000">
              <w:rPr>
                <w:rtl w:val="0"/>
              </w:rPr>
              <w:t xml:space="preserve">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r w:rsidR="00000000" w:rsidRPr="00000000" w:rsidDel="00000000">
              <w:rPr>
                <w:vertAlign w:val="superscript"/>
                <w:rtl w:val="0"/>
              </w:rPr>
              <w:t xml:space="preserve">39</w:t>
            </w:r>
            <w:r w:rsidR="00000000" w:rsidRPr="00000000" w:rsidDel="00000000">
              <w:rPr>
                <w:rtl w:val="0"/>
              </w:rPr>
              <w:t xml:space="preserve"> Atbalstu, atbilstoši Komisijas regulas Nr. 651/2014 38.a panta 7.daļai  var apvienot ar atbalstu vienam vai visiem šādiem pasākumiem, ja attiecīgās izmaksas nepieciešamas augstāka vides aizsardzības līmeņa sasniegšanai: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projektā 30.</w:t>
            </w:r>
            <w:r w:rsidR="00000000" w:rsidRPr="00000000" w:rsidDel="00000000">
              <w:rPr>
                <w:vertAlign w:val="superscript"/>
                <w:rtl w:val="0"/>
              </w:rPr>
              <w:t xml:space="preserve">39</w:t>
            </w:r>
            <w:r w:rsidR="00000000" w:rsidRPr="00000000" w:rsidDel="00000000">
              <w:rPr>
                <w:rtl w:val="0"/>
              </w:rPr>
              <w:t xml:space="preserve"> punktā ir pārrakstīts Regulas Nr.651/2014 38.a. panta 7.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Eiropas Savienības regulu prasības ir aizliegts pārrakstīt nacionālajā normatīvajā aktā.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minētais punkts dublē noteikumu projekta  30.</w:t>
            </w:r>
            <w:r w:rsidR="00000000" w:rsidRPr="00000000" w:rsidDel="00000000">
              <w:rPr>
                <w:vertAlign w:val="superscript"/>
                <w:rtl w:val="0"/>
              </w:rPr>
              <w:t xml:space="preserve">35</w:t>
            </w:r>
            <w:r w:rsidR="00000000" w:rsidRPr="00000000" w:rsidDel="00000000">
              <w:rPr>
                <w:rtl w:val="0"/>
              </w:rPr>
              <w:t xml:space="preserve">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noteikumu projekta 30</w:t>
            </w:r>
            <w:r w:rsidR="00000000" w:rsidRPr="00000000" w:rsidDel="00000000">
              <w:rPr>
                <w:vertAlign w:val="superscript"/>
                <w:rtl w:val="0"/>
              </w:rPr>
              <w:t xml:space="preserve">.39</w:t>
            </w:r>
            <w:r w:rsidR="00000000" w:rsidRPr="00000000" w:rsidDel="00000000">
              <w:rPr>
                <w:rtl w:val="0"/>
              </w:rPr>
              <w:t xml:space="preserve">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r w:rsidR="00000000" w:rsidRPr="00000000" w:rsidDel="00000000">
              <w:rPr>
                <w:vertAlign w:val="superscript"/>
                <w:rtl w:val="0"/>
              </w:rPr>
              <w:t xml:space="preserve">40</w:t>
            </w:r>
            <w:r w:rsidR="00000000" w:rsidRPr="00000000" w:rsidDel="00000000">
              <w:rPr>
                <w:rtl w:val="0"/>
              </w:rPr>
              <w:t xml:space="preserve"> Šo noteikumu </w:t>
            </w:r>
            <w:r w:rsidR="00000000" w:rsidRPr="00000000" w:rsidDel="00000000">
              <w:rPr>
                <w:rtl w:val="0"/>
              </w:rPr>
              <w:t xml:space="preserve">30.</w:t>
            </w:r>
            <w:r w:rsidR="00000000" w:rsidRPr="00000000" w:rsidDel="00000000">
              <w:rPr>
                <w:vertAlign w:val="superscript"/>
                <w:rtl w:val="0"/>
              </w:rPr>
              <w:t xml:space="preserve">37</w:t>
            </w:r>
            <w:r w:rsidR="00000000" w:rsidRPr="00000000" w:rsidDel="00000000">
              <w:rPr>
                <w:rtl w:val="0"/>
              </w:rPr>
              <w:t xml:space="preserve"> punkta attiecināmajām izmaksām, saskaņā ar Komisijas regulas Nr. 651/2014 38.a panta 11. punktu, kopējā atbalsta intensitāte nepārsniedz 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projektā 30.</w:t>
            </w:r>
            <w:r w:rsidR="00000000" w:rsidRPr="00000000" w:rsidDel="00000000">
              <w:rPr>
                <w:vertAlign w:val="superscript"/>
                <w:rtl w:val="0"/>
              </w:rPr>
              <w:t xml:space="preserve">40</w:t>
            </w:r>
            <w:r w:rsidR="00000000" w:rsidRPr="00000000" w:rsidDel="00000000">
              <w:rPr>
                <w:rtl w:val="0"/>
              </w:rPr>
              <w:t xml:space="preserve"> punktā ir pārrakstīts Regulas Nr.651/2014 38.a. panta 11.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Eiropas Savienības regulu prasības ir aizliegts pārrakstīt nacionālajā normatīvajā aktā.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minētais punkts dublē noteikumu projekta  30.</w:t>
            </w:r>
            <w:r w:rsidR="00000000" w:rsidRPr="00000000" w:rsidDel="00000000">
              <w:rPr>
                <w:vertAlign w:val="superscript"/>
                <w:rtl w:val="0"/>
              </w:rPr>
              <w:t xml:space="preserve">35</w:t>
            </w:r>
            <w:r w:rsidR="00000000" w:rsidRPr="00000000" w:rsidDel="00000000">
              <w:rPr>
                <w:rtl w:val="0"/>
              </w:rPr>
              <w:t xml:space="preserve">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noteikumu projekta 30.</w:t>
            </w:r>
            <w:r w:rsidR="00000000" w:rsidRPr="00000000" w:rsidDel="00000000">
              <w:rPr>
                <w:vertAlign w:val="superscript"/>
                <w:rtl w:val="0"/>
              </w:rPr>
              <w:t xml:space="preserve">40</w:t>
            </w:r>
            <w:r w:rsidR="00000000" w:rsidRPr="00000000" w:rsidDel="00000000">
              <w:rPr>
                <w:rtl w:val="0"/>
              </w:rPr>
              <w:t xml:space="preserve">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r w:rsidR="00000000" w:rsidRPr="00000000" w:rsidDel="00000000">
              <w:rPr>
                <w:vertAlign w:val="superscript"/>
                <w:rtl w:val="0"/>
              </w:rPr>
              <w:t xml:space="preserve">48</w:t>
            </w:r>
            <w:r w:rsidR="00000000" w:rsidRPr="00000000" w:rsidDel="00000000">
              <w:rPr>
                <w:rtl w:val="0"/>
              </w:rPr>
              <w:t xml:space="preserve"> Atbalstu, ko sniedz saskaņā ar Komisijas regulas Nr. 651/2014 41. panta 1.punktu, nepiešķir elektroenerģijas ražošanai no atjaunīgā ūdeņraža.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30.</w:t>
            </w:r>
            <w:r w:rsidR="00000000" w:rsidRPr="00000000" w:rsidDel="00000000">
              <w:rPr>
                <w:vertAlign w:val="superscript"/>
                <w:rtl w:val="0"/>
              </w:rPr>
              <w:t xml:space="preserve">48</w:t>
            </w:r>
            <w:r w:rsidR="00000000" w:rsidRPr="00000000" w:rsidDel="00000000">
              <w:rPr>
                <w:rtl w:val="0"/>
              </w:rPr>
              <w:t xml:space="preserve"> punkts dublē noteikumu projekta  30.</w:t>
            </w:r>
            <w:r w:rsidR="00000000" w:rsidRPr="00000000" w:rsidDel="00000000">
              <w:rPr>
                <w:vertAlign w:val="superscript"/>
                <w:rtl w:val="0"/>
              </w:rPr>
              <w:t xml:space="preserve">47</w:t>
            </w:r>
            <w:r w:rsidR="00000000" w:rsidRPr="00000000" w:rsidDel="00000000">
              <w:rPr>
                <w:rtl w:val="0"/>
              </w:rPr>
              <w:t xml:space="preserve"> punktu. Ievērojot minēto, lūdzam svītrot noteikumu projekta 30.</w:t>
            </w:r>
            <w:r w:rsidR="00000000" w:rsidRPr="00000000" w:rsidDel="00000000">
              <w:rPr>
                <w:vertAlign w:val="superscript"/>
                <w:rtl w:val="0"/>
              </w:rPr>
              <w:t xml:space="preserve">48</w:t>
            </w:r>
            <w:r w:rsidR="00000000" w:rsidRPr="00000000" w:rsidDel="00000000">
              <w:rPr>
                <w:rtl w:val="0"/>
              </w:rPr>
              <w:t xml:space="preserve">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r w:rsidR="00000000" w:rsidRPr="00000000" w:rsidDel="00000000">
              <w:rPr>
                <w:vertAlign w:val="superscript"/>
                <w:rtl w:val="0"/>
              </w:rPr>
              <w:t xml:space="preserve">51</w:t>
            </w:r>
            <w:r w:rsidR="00000000" w:rsidRPr="00000000" w:rsidDel="00000000">
              <w:rPr>
                <w:rtl w:val="0"/>
              </w:rPr>
              <w:t xml:space="preserve"> Piešķirot atbalstu saskaņā ar Komisijas regulas Nr. 651/2014 41. pantu, jāievēro tā 1.a, 2., 3., 4., 4.a punktu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projektā 30.</w:t>
            </w:r>
            <w:r w:rsidR="00000000" w:rsidRPr="00000000" w:rsidDel="00000000">
              <w:rPr>
                <w:vertAlign w:val="superscript"/>
                <w:rtl w:val="0"/>
              </w:rPr>
              <w:t xml:space="preserve">51</w:t>
            </w:r>
            <w:r w:rsidR="00000000" w:rsidRPr="00000000" w:rsidDel="00000000">
              <w:rPr>
                <w:rtl w:val="0"/>
              </w:rPr>
              <w:t xml:space="preserve"> punktā ir pārrakstīts Regulas Nr.651/2014 41.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Eiropas Savienības regulu prasības ir aizliegts pārrakstīt nacionālajā normatīvajā aktā.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minētais punkts dublē noteikumu projekta  30.</w:t>
            </w:r>
            <w:r w:rsidR="00000000" w:rsidRPr="00000000" w:rsidDel="00000000">
              <w:rPr>
                <w:vertAlign w:val="superscript"/>
                <w:rtl w:val="0"/>
              </w:rPr>
              <w:t xml:space="preserve">47</w:t>
            </w:r>
            <w:r w:rsidR="00000000" w:rsidRPr="00000000" w:rsidDel="00000000">
              <w:rPr>
                <w:rtl w:val="0"/>
              </w:rPr>
              <w:t xml:space="preserve"> punktu un tā apakšpunktus.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noteikumu projekta 30.</w:t>
            </w:r>
            <w:r w:rsidR="00000000" w:rsidRPr="00000000" w:rsidDel="00000000">
              <w:rPr>
                <w:vertAlign w:val="superscript"/>
                <w:rtl w:val="0"/>
              </w:rPr>
              <w:t xml:space="preserve">51</w:t>
            </w:r>
            <w:r w:rsidR="00000000" w:rsidRPr="00000000" w:rsidDel="00000000">
              <w:rPr>
                <w:rtl w:val="0"/>
              </w:rPr>
              <w:t xml:space="preserve">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r w:rsidR="00000000" w:rsidRPr="00000000" w:rsidDel="00000000">
              <w:rPr>
                <w:vertAlign w:val="superscript"/>
                <w:rtl w:val="0"/>
              </w:rPr>
              <w:t xml:space="preserve">51</w:t>
            </w:r>
            <w:r w:rsidR="00000000" w:rsidRPr="00000000" w:rsidDel="00000000">
              <w:rPr>
                <w:rtl w:val="0"/>
              </w:rPr>
              <w:t xml:space="preserve">2. biodegvielu, bioloģisko šķidro kurināmo, biogāzes (tostarp biometāna) un biomasas kurināmo/degvielu ražošanai un uzkrāšanai, ja atbalstāmās degvielas/kurināmais atbilst ilgtspējas un siltumnīcefekta gāzu emisiju aiztaupījuma kritērijiem, kas noteikti Direktīvā (ES) 2018/2001 un tās īstenošanas vai deleģētajos aktos, un tiek ražoti no minētās direktīvas IX pielikumā uzskaitītajiem ievadmateriāliem un akumulēšanas komponents katru gadu iegūst vismaz 75 % kurināmā satura no tieši pieslēgtām biodegvielas, bioloģiskā šķidrā kurināmā, biogāzes (tostarp biometāna) un biomasas kurināmā/degvielas ražošanas iekārtām;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30.</w:t>
            </w:r>
            <w:r w:rsidR="00000000" w:rsidRPr="00000000" w:rsidDel="00000000">
              <w:rPr>
                <w:vertAlign w:val="superscript"/>
                <w:rtl w:val="0"/>
              </w:rPr>
              <w:t xml:space="preserve">51</w:t>
            </w:r>
            <w:r w:rsidR="00000000" w:rsidRPr="00000000" w:rsidDel="00000000">
              <w:rPr>
                <w:rtl w:val="0"/>
              </w:rPr>
              <w:t xml:space="preserve">2. apakšpunktā iekļauta atsauce uz Eiropas Parlamenta un Padomes 2018.gada 11.decembra Direktīvu Nr. 2018/2001 par no atjaunojamajiem energoresursiem iegūtas enerģijas izmantošanas veicināšanu. Norādām, ka atbilstoši Līguma par Eiropas Savienības darbību 288. panta trešajai daļai direktīvas dalībvalstīm uzliek saistības attiecībā uz sasniedzamo rezultātu, bet ļauj dalībvalstīm izvēlēties to īstenošanas formas un metodes. Proti, direktīvas atšķirībā no regulām nav tieši piemērojamas un tās kļūst saistošas personām tikai no brīža, kad tās ir pārņemtas Latvijas tiesību aktos. Ievērojot minēto, lūdzam noteikumu projekta 30.</w:t>
            </w:r>
            <w:r w:rsidR="00000000" w:rsidRPr="00000000" w:rsidDel="00000000">
              <w:rPr>
                <w:vertAlign w:val="superscript"/>
                <w:rtl w:val="0"/>
              </w:rPr>
              <w:t xml:space="preserve">51</w:t>
            </w:r>
            <w:r w:rsidR="00000000" w:rsidRPr="00000000" w:rsidDel="00000000">
              <w:rPr>
                <w:rtl w:val="0"/>
              </w:rPr>
              <w:t xml:space="preserve">2. apakšpunktā norādīto atsauci uz minēto direktīvu aizstāt ar atsauci uz nacionālo tiesību aktu, kurā konkrētā direktīva ir pārņemta.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r w:rsidR="00000000" w:rsidRPr="00000000" w:rsidDel="00000000">
              <w:rPr>
                <w:vertAlign w:val="superscript"/>
                <w:rtl w:val="0"/>
              </w:rPr>
              <w:t xml:space="preserve">51</w:t>
            </w:r>
            <w:r w:rsidR="00000000" w:rsidRPr="00000000" w:rsidDel="00000000">
              <w:rPr>
                <w:rtl w:val="0"/>
              </w:rPr>
              <w:t xml:space="preserve">4. augstas efektivitātes koģenerācijai, ja tas nodrošina primārās enerģijas ietaupījumu salīdzinājumā ar siltuma un elektroenerģijas atsevišķu ražošanu, kā paredzēts Direktīvā 2012/27/ES, kā arī elektroenerģijas un siltumenerģijas akumulēšanas jaudu tiešu pieslēgšanu iekārtam, kurās notiek augstas efektivitātes koģenerācija uz atjaunīgo energoresursu bāzes. Atbalstu nesniedz augstas efektivitātes koģenerācijas iekārtām, kurās izmanto fosilo kurināmo, izņemot dabasgāzi, ja tiek nodrošināta atbilstība 2030. un 2050. gada klimata mērķrādītājiem saskaņā ar Komisijas Deleģētās regulas (ES) 2021/2139 (*45) I pielikuma 4.30. iedaļu.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30.</w:t>
            </w:r>
            <w:r w:rsidR="00000000" w:rsidRPr="00000000" w:rsidDel="00000000">
              <w:rPr>
                <w:vertAlign w:val="superscript"/>
                <w:rtl w:val="0"/>
              </w:rPr>
              <w:t xml:space="preserve">51</w:t>
            </w:r>
            <w:r w:rsidR="00000000" w:rsidRPr="00000000" w:rsidDel="00000000">
              <w:rPr>
                <w:rtl w:val="0"/>
              </w:rPr>
              <w:t xml:space="preserve">4. apakšpunktā iekļauta atsauce uz Eiropas Parlamenta un Padomes 2012. gada 25. oktobra Direktīvu 2012/27/ES par energoefektivitāti, ar ko groza Direktīvas 2009/125/EK un 2010/30/ES un atceļ Direktīvas 2004/8/EK un 2006/32/EK. Norādām, ka atbilstoši Līguma par Eiropas Savienības darbību 288. panta trešajai daļai direktīvas dalībvalstīm uzliek saistības attiecībā uz sasniedzamo rezultātu, bet ļauj dalībvalstīm izvēlēties to īstenošanas formas un metodes. Proti, direktīvas atšķirībā no regulām nav tieši piemērojamas un tās kļūst saistošas personām tikai no brīža, kad tās ir pārņemtas Latvijas tiesību aktos. Ievērojot minēto, lūdzam noteikumu projekta 30.</w:t>
            </w:r>
            <w:r w:rsidR="00000000" w:rsidRPr="00000000" w:rsidDel="00000000">
              <w:rPr>
                <w:vertAlign w:val="superscript"/>
                <w:rtl w:val="0"/>
              </w:rPr>
              <w:t xml:space="preserve">51</w:t>
            </w:r>
            <w:r w:rsidR="00000000" w:rsidRPr="00000000" w:rsidDel="00000000">
              <w:rPr>
                <w:rtl w:val="0"/>
              </w:rPr>
              <w:t xml:space="preserve">4. apakšpunktā norādīto atsauci uz minēto direktīvu aizstāt ar atsauci uz nacionālo tiesību aktu, kurā konkrētā direktīva ir pārņemta.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r w:rsidR="00000000" w:rsidRPr="00000000" w:rsidDel="00000000">
              <w:rPr>
                <w:vertAlign w:val="superscript"/>
                <w:rtl w:val="0"/>
              </w:rPr>
              <w:t xml:space="preserve">51</w:t>
            </w:r>
            <w:r w:rsidR="00000000" w:rsidRPr="00000000" w:rsidDel="00000000">
              <w:rPr>
                <w:rtl w:val="0"/>
              </w:rPr>
              <w:t xml:space="preserve">4. augstas efektivitātes koģenerācijai, ja tas nodrošina primārās enerģijas ietaupījumu salīdzinājumā ar siltuma un elektroenerģijas atsevišķu ražošanu, kā paredzēts Direktīvā 2012/27/ES, kā arī elektroenerģijas un siltumenerģijas akumulēšanas jaudu tiešu pieslēgšanu iekārtam, kurās notiek augstas efektivitātes koģenerācija uz atjaunīgo energoresursu bāzes. Atbalstu nesniedz augstas efektivitātes koģenerācijas iekārtām, kurās izmanto fosilo kurināmo, izņemot dabasgāzi, ja tiek nodrošināta atbilstība 2030. un 2050. gada klimata mērķrādītājiem saskaņā ar Komisijas Deleģētās regulas (ES) 2021/2139 (*45) I pielikuma 4.30. iedaļu.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noteikumu projekta 30.</w:t>
            </w:r>
            <w:r w:rsidR="00000000" w:rsidRPr="00000000" w:rsidDel="00000000">
              <w:rPr>
                <w:vertAlign w:val="superscript"/>
                <w:rtl w:val="0"/>
              </w:rPr>
              <w:t xml:space="preserve">51</w:t>
            </w:r>
            <w:r w:rsidR="00000000" w:rsidRPr="00000000" w:rsidDel="00000000">
              <w:rPr>
                <w:rtl w:val="0"/>
              </w:rPr>
              <w:t xml:space="preserve">4. apakšpunktā precizēt atsauci uz Komisijas Deleģētās regulas (ES) 2021/2139 (*45) I pielikuma 4.30. iedaļu, norādot tās pilnu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23-TA-1000</w:t>
    </w:r>
    <w:r>
      <w:br/>
    </w:r>
    <w:r w:rsidR="00000000" w:rsidRPr="00000000" w:rsidDel="00000000">
      <w:rPr>
        <w:rtl w:val="0"/>
      </w:rPr>
      <w:t xml:space="preserve">Izdrukāts 19.10.2023. 15.29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23-TA-1000</w:t>
    </w:r>
    <w:r>
      <w:br/>
    </w:r>
    <w:r w:rsidR="00000000" w:rsidRPr="00000000" w:rsidDel="00000000">
      <w:rPr>
        <w:rtl w:val="0"/>
      </w:rPr>
      <w:t xml:space="preserve">Izdrukāts 19.10.2023. 15.29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Atzinumi_23-TA-1000.docx</dc:title>
</cp:coreProperties>
</file>

<file path=docProps/custom.xml><?xml version="1.0" encoding="utf-8"?>
<Properties xmlns="http://schemas.openxmlformats.org/officeDocument/2006/custom-properties" xmlns:vt="http://schemas.openxmlformats.org/officeDocument/2006/docPropsVTypes"/>
</file>