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23-TA-936: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Energoefektivitātes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5.</w:t>
            </w:r>
            <w:r w:rsidR="00000000" w:rsidRPr="00000000" w:rsidDel="00000000">
              <w:rPr>
                <w:b w:val="1"/>
                <w:vertAlign w:val="superscript"/>
                <w:rtl w:val="0"/>
              </w:rPr>
              <w:t xml:space="preserve">1</w:t>
            </w:r>
            <w:r w:rsidR="00000000" w:rsidRPr="00000000" w:rsidDel="00000000">
              <w:rPr>
                <w:b w:val="1"/>
                <w:rtl w:val="0"/>
              </w:rPr>
              <w:t xml:space="preserve"> pants. Kritēriji rīcībpolitiku un atbalsta programmu izstrādei un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Publiska persona un atvasināta publiska persona, izstrādājot un īstenojot rīcībpolitikas un atbalsta pasākumus, kas tiešā vai netiešā veidā ietekmē energoefektivitāti, ņem vērā visus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piemēro principu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prioritāri īsteno pasākumus enerģētiskās nabadzības skartajās mājsaimniecībās;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ēku energoefektivitātes paaugstināšanā nodrošina atbilstību gandrīz nulles enerģijas ēku prasībām, kas noteikts nacionālajā likumdošanā;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investīcijas ēku energoefektivitātē nodrošina atjaunīgās enerģijas īpatsvaru vismaz 50 procenti 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nepalielina fosilās enerģijas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samazina enerģijas gala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Atbalsta pasākumiem, kuri tiks pilnībā vai daļēji īstenoti, izmantojot maksājumus no valsts budžeta, valsts galvojumus, kredītu procentu likmju subsīdijas vai citu finanšu palīdzību, kas tiek piešķirta vai sniegta no valsts vai Eiropas Savienības budžeta līdzekļiem un ārvalstu finanšu palīdzības līdzekļiem, kas tiešā vai netiešā veidā ietekmē energoefektivitāti, vērtē panākto enerģijas gala patēriņa mērķrādītāju.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Iestādes, kuras ir atbildīgas par finansējuma piešķiršanu, nosaka vērtēšanas kritērijus un energoefektivitātes uzlabošanas rezultatīvos rādītājus to pārziņā esošajām aktivitātēm vai projektu enerģijas patēriņa rādītājus tām aktivitātēm, kas tiešā veidā nav vērstas uz energoefektivitātes uzlabošanu, tomēr sekmē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Nozaru ministrijas, izstrādājot un īstenojot rīcībpolitiku un atbalsta pasākumus, kas tiešā vai netiešā veidā nodrošina energoefektivitātes uzlabošanos, saskaņošanas procesā iekļauj Klimata un enerģētikas ministriju kā atzinuma sniedzēju.".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3.punktu ar izņēmumu, kuru piemēro vēsturiskajām ēkām, jo veicot vēsturisku ēku pārbūvi, atjaunošanu vai restaurāciju ir ierobežotas iespējas sasniegt energoefektivitātes ietaupījumu, kas atbilstu gandrīz nulles enerģijas ēku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investīcijas ēku energoefektivitātes paaugstināšanā nodrošina atbilstību gandrīz nulles enerģijas ēku prasībām (izņemot vēsturiskajās ēkās), kas noteikts nacionālajā likumdošanā;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Zubova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23-TA-936</w:t>
    </w:r>
    <w:r>
      <w:br/>
    </w:r>
    <w:r w:rsidR="00000000" w:rsidRPr="00000000" w:rsidDel="00000000">
      <w:rPr>
        <w:rtl w:val="0"/>
      </w:rPr>
      <w:t xml:space="preserve">Izdrukāts 27.09.2024.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Atzinumi_23-TA-936.docx</dc:title>
</cp:coreProperties>
</file>

<file path=docProps/custom.xml><?xml version="1.0" encoding="utf-8"?>
<Properties xmlns="http://schemas.openxmlformats.org/officeDocument/2006/custom-properties" xmlns:vt="http://schemas.openxmlformats.org/officeDocument/2006/docPropsVTypes"/>
</file>