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Integrētās riska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Administratīvo pārkāpumu procesa atbalsta sistēmas – šo noteikumu 3.1., 3.2., 3.6., 3.8., 3.11., 3.14., 5.1., 5.5. un 5.8. apakšpunktā minētos datus un par šo noteikumu 12.3. apakšpunktā  minētajiem datiem – numuru, pamatdatus;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Ministru kabineta noteikumu projektā "Integrētās riska informācijas sistēmas noteikumi" (turpmāk – projekts) nav noteikts, kāds ir informācijas par administratīvā pārkāpuma procesu apstrādes apjoms un tiesiskais pamats.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12.3. apakšpunktā ir norādīts, ka Nodokļu un muitas policijas Integrētās riska informācijas sistēmā (turpmāk - sistēma) iekļauj un apstrādā informāciju par administratīvā pārkāpuma procesu. Ne no projekta satura, ne tā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informācijas neizriet, kādus tieši datus par administratīvā pārkāpuma procesu paredzēts apstrādāt un kāds ir apstrādes tiesiskais pamats. Apstrādājamo datu veidi būtu nosakāmi likumā; Ministru kabinets varētu konkretizēt datu apjomu. Nodokļu un muitas policijas likumā ir minēti dati par administratīvajiem pārkāpumiem. Taču tie nav dati par administratīvā pārkāpuma procesu. Tāpat projektā konkretizējams datu (iekļaujamās informācijas)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vārdus daudzskaitlī "administratīvo pārkāpumu" aizstāt ar vārdiem vienskaitlī "administratīvā pārkāpuma". Informācijas sistēmas nosaukums šobrīd ir Administratīvā pārkāpuma procesa atbalsta sistēma (sk. Administratīvās atbildības likuma 296. panta pirmo daļu). Līdzīgi arī citviet projektā jāievēro, ka Administratīvās atbildības likumā izmantotais termins ir "administratīvā pārkāpuma process" un "administratīvā pārkāpuma lieta" (nevis "administratīvo pārkāpumu lietas" vai tamlīdzīgi).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Sistēmā uzkrāto informāciju dzēš pēc pieciem gadiem no informācijas iekļaušanas brīža. Ja informāciju papildina vai saista ar jaunām informācijas vienībām, glabāšanas termiņu skaita no jauno informācijas vienību pievienošanas brīža. Informāciju, kas saistīta ar noziedzīgiem nodarījumiem, glabā atbilstoši noziedzīgā nodarījuma noilguma termiņiem. Informāciju par administratīvo pārkāpumu un resoriskajām pārbaudēm dzēš pēc diviem gadiem no iekļaušanas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Projektā un anotācijā nav ietverts skaidrojums informācijas par administratīvo pārkāpumu un resoriskajām pārbaudēm glabāšanas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informāciju par administratīvo pārkāpumu un resoriskajām pārbaudēm dzēš pēc diviem gadiem no iekļaušanas brīža. Lūdzam sniegt pamatojumu divu gadu glabāšanas termiņa ievērošanai. Turklāt arī Nodokļu un muitas policijas likumā ir noteikti šādu datu glabāšanas termiņi.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Auditācijas pierakstus var nodot kompetentajām iestādēm (pirmstiesas izmeklēšanas iestādēm, operatīvās darbības subjektiem, valsts drošības iestādēm) pieprasījumā norādītajā apjomā, lai nodrošinātu noziedzīgu nodarījumu izmeklēšanu, kā arī disciplinārlietas vai administratīvo pārkāpumu lietu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Izvērtējama auditācijas pierakstu iegūšanas regulējuma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paredzēts, ka auditācijas pierakstus var nodot kompetentajām iestādēm arī disciplinārlietas vai administratīvā pārkāpuma lietas ietvaros. Lūdzam izvērtēt, vai šāds regulējums projektā ir nepieciešams, tostarp tā ietekmi uz tiesību sistēmu kopumā. Citiem vārdiem sakot, izvērtējams, vai gadījumā, ja šajā projektā vai citos līdzīgos Ministru kabineta noteikumos vai likumā nav ietverts regulējums, ka auditācijas pierakstus pieļaujams izmantot, piemēram, administratīvā pārkāpuma procesā, tad nepastāv tiesiska iespēja iegūt šādus datus administratīvā pārkāpuma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Nodokļu un muitas policijas Integrētajā riska informācijas sistēmā (turpmāk – sistēma) iekļaujamo informāciju, tās apjomu, apstrādes noteikumus, glabāšanas termiņus, iestādes, kuras sniedz datus Integrētajā riska informācijas sistēmā un saņem datus no Integrētās riska informācijas sistēmas, piekļuves nosacījumus, kā arī auditācijas pierakstu uzglabāšanas un izsniegšanas nosacījumus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secīgi raksta vārdus "noteikumi nosaka" un </w:t>
            </w:r>
            <w:r w:rsidR="00000000" w:rsidRPr="00000000" w:rsidDel="00000000">
              <w:rPr>
                <w:u w:val="single"/>
                <w:rtl w:val="0"/>
              </w:rPr>
              <w:t xml:space="preserve">likumā noteikto pilnvarojumu Ministru kabinetam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1. punktu atbilstoši Nodokļu un muitas policijas likuma 15. panta piektajā daļā noteiktajam pilnvarojumam Ministru kabinetam (proti, aizstāt vārdus "piekļuves nosacījumus" ar vārdiem "piekļuves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projekta 1. punktā lietot tajā paredzēto saīsinājumu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Sistēmā iekļaujamās informācijas apjoms, iekļaušanas kārtība un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II, III un IV nodaļas nosaukumu atbilstoši Nodokļu un muitas policijas likuma 15. panta piektajā daļā noteiktajam pilnvarojumam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Sistēmā iekļauj, atspoguļo un veic citas apstrādes darbības ar aktuālo un vēsturisko informāciju par fiziskām personām, juridiskām personām, adresēm, transportlīdzekļiem, sakaru līdzekļiem, kontiem, dokumentiem, notikumiem un lietām saistībā ar konstatētiem un iespējamiem likumpārkāpumiem valsts ieņēmumu un muitas lietu jomā, kas var sekmēt kriminālizlūkošanas, operatīvās darbības un kriminālprocesa uzdevumu veikšanu, kā arī muitas kontroles veikšanu, tai skaitā izpildot starptautiskās saistības riska pārvaldības un muitas kontroles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Nodokļu un muitas policijas likuma 15. panta pirmajā daļā ir noteikts sistēmas mērķis, lūdzam izvērtēt projekta 2. punktā paredzētā regulējuma nepieciešamību un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3.19. ienākumu gūšanas avoti;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tiesību normu varētu efektīvāk piemērot praksē, kā arī ņemot vērā personas datu minimizēšanas principu, aicinām anotācijā sniegt skaidrojumu, kādus datu veidus tiek plānots apstrādāt, iespēju robežās precizējot projektu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ziņas par amatpersonām vai pārstāvēttiesīgajām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personas datu minimizēšanas principu, lūdzam precizēt projekta 4.12. un 4.13.apakšpunktu, skaidri nosakot, kādus datu veidus plānots apstrādāt par fiziskajām personām, piemēram, vārds, uzvārds, amats.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4.14. cita identificējoša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tiesību normu varētu efektīvāk piemērot, lūdzam iespēju robežās precizēt projektu kopumā, nosakot, kādus datu veidus plānots apstrādāt, īpaši, ja tiek plānots apstrādāt fizisko personu datus, attiecīgi anotācijā sniedzot plašāku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īpašnieki, turētāji.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personas datu minimizēšanas principu, lūdzam precizēt projekta 5.8.apakšpunktu, skaidri nosakot, kādus datu veidus plānots apstrādāt par fiziskajām personām, piemēram, vārds, uzvārds.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Sistēmā iekļauj un apstrādā šādu informāciju par riskantu bankas kontu: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projekta 7., 8. un 9. punktā tiek lietots vārds "riskants".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vai projekta tekstā sniegt nenoteikta satura jēdziena "riskants" skaidrojumu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īpašnieks;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personas datu minimizēšanas principu, lūdzam precizēt projekta 11.3.apakšpunktu, skaidri nosakot, kādus datu veidus plānots apstrādāt par fiziskajām personām, piemēram, vārds, uzvārds, personas kods.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Sistēma nodod datus tiešsaistē šādām valsts informācijas sistēmām: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personas datu nolūka ierobežojuma, likumības, godprātības un minimizēšanas principu, lūdzam anotācijā sniegt skaidrojumu, kādēļ nepieciešams nodot visus sistēmā esošos datus citām - projektā noteiktajām sistēmām. Tieslietu ministrijas ieskatā bez attiecīga skaidrojuma anotācijā netiek gūta pārliecība, ka informāciju saņemošajām sistēmām nepieciešama visa pieejamā informācija no sistēmas, tāpat anotācijā nav sniegta informācija, vai ir vērtēts, kādiem nolūkiem dati ir nepieciešami, vai iegūstamais datu apjoms ir samērīgs.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izstrādes pamatojuma aprakstā norādīto ("(..) iesniegt izskatīšanai Ministru kabinetā Ministru kabineta noteikumu “Integrētās riska informācijas sistēmas noteikumus”).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iesniegt izskatīšanai Ministru kabinetā Ministru kabineta noteikumus “Integrētās riska informācijas sistēmas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Popova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25-TA-709</w:t>
    </w:r>
    <w:r>
      <w:br/>
    </w:r>
    <w:r w:rsidR="00000000" w:rsidRPr="00000000" w:rsidDel="00000000">
      <w:rPr>
        <w:rtl w:val="0"/>
      </w:rPr>
      <w:t xml:space="preserve">Izdrukāts 14.05.2025. 21.26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25-TA-709</w:t>
    </w:r>
    <w:r>
      <w:br/>
    </w:r>
    <w:r w:rsidR="00000000" w:rsidRPr="00000000" w:rsidDel="00000000">
      <w:rPr>
        <w:rtl w:val="0"/>
      </w:rPr>
      <w:t xml:space="preserve">Izdrukāts 14.05.2025. 21.26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Atzinumi_25-TA-709.docx</dc:title>
</cp:coreProperties>
</file>

<file path=docProps/custom.xml><?xml version="1.0" encoding="utf-8"?>
<Properties xmlns="http://schemas.openxmlformats.org/officeDocument/2006/custom-properties" xmlns:vt="http://schemas.openxmlformats.org/officeDocument/2006/docPropsVTypes"/>
</file>