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pamatojumu anotācijā par noteikumu projekta 22.</w:t>
            </w:r>
            <w:r w:rsidR="00000000" w:rsidRPr="00000000" w:rsidDel="00000000">
              <w:rPr>
                <w:vertAlign w:val="superscript"/>
                <w:rtl w:val="0"/>
              </w:rPr>
              <w:t xml:space="preserve">3</w:t>
            </w:r>
            <w:r w:rsidR="00000000" w:rsidRPr="00000000" w:rsidDel="00000000">
              <w:rPr>
                <w:rtl w:val="0"/>
              </w:rPr>
              <w:t xml:space="preserve">.1 apakšpunktā iekļauto sporta laukumu pārbūves izmaksu atbilstību CID iekļautajām investīciju prasībām, ka "var paredzēt investīcijas izglītības iestāžu fiziskās vides uzlabošanai – klašu telpām, kas atbilst higiēnas prasībām, inženiertīklu (tostarp ventilācijas sistēmu) rekonstrukcijai, pietiekama un energoefektīva apgaismojuma nodrošināšanai, kā arī citiem ergonomiskiem un mūsdienīgiem izglītības vides risinājumiem. Šīs investīcijas skolu infrastruktūrā saskaņā ar ANM var izmantot arī informācijas tehnoloģiju un zinātnes, tehnoloģiju, inženierzinātņu un matemātikas iekārtu iegādei, jaunu, uzlabotu mācību programmu īstenošanai un attālinātu un tiešsaistes mācību īstenošanai." Vienlaikus lūdzam papildināt ar informāciju, ka tiks nodrošināta investīciju nepārklāšanās ar Eiropas Savienības kohēzijas politikas programmas 2021.-2027.gadam 4.2.1.specifiskā atbalsta mērķa ietvaros plānotajām investīcijām vispārējās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aicinām Izglītības un zinātnes ministriju sagatavot jautājumu Eiropas Komisijai par minēto izmaksu attiecināmību.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11.</w:t>
            </w:r>
            <w:r w:rsidR="00000000" w:rsidRPr="00000000" w:rsidDel="00000000">
              <w:rPr>
                <w:vertAlign w:val="superscript"/>
                <w:rtl w:val="0"/>
              </w:rPr>
              <w:t xml:space="preserve">2</w:t>
            </w:r>
            <w:r w:rsidR="00000000" w:rsidRPr="00000000" w:rsidDel="00000000">
              <w:rPr>
                <w:rtl w:val="0"/>
              </w:rPr>
              <w:t xml:space="preserve">1. apakšpunktā iekļauts izņēmums, ka investīcijas var tikt veiktas arī t.s. pieejamības skolās, lūdzam papildināt anotāciju ar pamatojumu par noteikumu projekta 11.</w:t>
            </w:r>
            <w:r w:rsidR="00000000" w:rsidRPr="00000000" w:rsidDel="00000000">
              <w:rPr>
                <w:vertAlign w:val="superscript"/>
                <w:rtl w:val="0"/>
              </w:rPr>
              <w:t xml:space="preserve">2</w:t>
            </w:r>
            <w:r w:rsidR="00000000" w:rsidRPr="00000000" w:rsidDel="00000000">
              <w:rPr>
                <w:rtl w:val="0"/>
              </w:rPr>
              <w:t xml:space="preserve">1. apakšpunktā iekļautā izņēmuma sasaisti ar skolu tīkla optimizāciju, lai nodrošinātu atbilstību Padomes īstenošanas lēmumā, ar ko groza 2021. gada 13. jūlija Īstenošanas lēmumu (ES) par Latvijas atveseļošanas un noturības plāna novērtējuma apstiprināšanu (turpmāk – CID) noteiktajam, ka 3.1.1.5.i investīcijas "Izglītības iestāžu infrastruktūras pilnveide un aprīkošana" ieguldījumu "mērķis ir uzlabot reģionālo skolu kvalitāti, apvienojot investīcijas ar skolu tīkla optimizāciju". Vēršam uzmanību, ka sniedzot informāciju Eiropas Komisijai par CID rādītāja izpildi būs jāpamato investīciju sasaiste ar skolu tīkla optimizāciju.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izvērtējumu par ierosināto grozījumu ietekmi uz finansējuma saņēmējiem un īstenošanā esošajiem projektiem, vienlaikus skaidrojot, vai būs nepieciešami grozījumi noslēgtajās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11.12.2024.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11.12.2024.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Atzinumi_24-TA-2895.docx</dc:title>
</cp:coreProperties>
</file>

<file path=docProps/custom.xml><?xml version="1.0" encoding="utf-8"?>
<Properties xmlns="http://schemas.openxmlformats.org/officeDocument/2006/custom-properties" xmlns:vt="http://schemas.openxmlformats.org/officeDocument/2006/docPropsVTypes"/>
</file>