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attīstības pamatnostādņu 2021. – 2027. gadam „Nākotnes prasmes nākotnes sabiedrībai” RĪCĪBAS PLĀNS 2024.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 KOPSAVILKUMS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rīcības plānu, nosakot, ka ne tikai ir izstrādāti priekšlikumi profesionālās izglītības finansēšanai, bet attiecīgi arī izstrādāts finansēšanas modelis un attiecīgie tiesību akti, nodrošināta to sabiedriskā apspriešana 2025.gadā. Ņemot vērā, ka priekšlikumu ieviešana ir saistīta ar valsts budžeta plānošanas procesu, aicinām noteikt termiņu vienlaicīgi ar 2026.gada budžeta izstrādes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 KOPSAVILKUMS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rīcības plānu ar konkrētu pasākumu kopumu, kā tiks nodrošināta pilnvērtīga mācību līdzekļu pieejamība vismaz obligātās izglītības posmā, ņemot vērā, ka 2024.gadā ir apzināts, ka valsts budžeta nepietiekamais finansējums rada nevienlīdzību izglītojamo vidū mācību apguves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 KOPSAVILKUMS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joprojām uztur nepieciešamību izvērtēt politikas plānošanas dokumentu izstrādes gaitu un procesu, kura rezultātā rīcības plāns 2024.-2025.gadam tiek skaņots 2025.gada sākumā. Atkārtoti norādām, ka šāda prakse liecina, ka dokumentu izstrāde kļūst formāla un neizriet no labas pārvaldības prakses, bet nostiprina jau īstenotu pasākumu īstenošanu, mazinot sabiedrības kopējo iesaisti jēgilnā rīcībpolitikas plānošanas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situācijā, kad atbildīgā ministrija apzinās novēlotu dokumentu izstrādi, nepieciešams iniciēt un virzīties vismaz uz nākamā perioda jēgpilnu plānošanas procesu nākamajam periodam, kas šobrīd nav uzsākts.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15.01.2025.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15.01.2025.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Atzinumi_24-TA-1631.docx</dc:title>
</cp:coreProperties>
</file>

<file path=docProps/custom.xml><?xml version="1.0" encoding="utf-8"?>
<Properties xmlns="http://schemas.openxmlformats.org/officeDocument/2006/custom-properties" xmlns:vt="http://schemas.openxmlformats.org/officeDocument/2006/docPropsVTypes"/>
</file>