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23-TA-989: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Farmācijas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"Grozījumi Farmācijas likumā" (turpmāk – likumprojekts) sākotnējās ietekmes </w:t>
            </w:r>
            <w:r w:rsidR="00000000" w:rsidRPr="00000000" w:rsidDel="00000000">
              <w:rPr>
                <w:i w:val="1"/>
                <w:rtl w:val="0"/>
              </w:rPr>
              <w:t xml:space="preserve">(ex-ante)</w:t>
            </w:r>
            <w:r w:rsidR="00000000" w:rsidRPr="00000000" w:rsidDel="00000000">
              <w:rPr>
                <w:rtl w:val="0"/>
              </w:rPr>
              <w:t xml:space="preserve"> novērtējuma ziņojuma (anotācijas) 4.1. apakšsadaļā ietvertās informācijas izriet, ka atbilstoši likumprojektā paredzētajiem grozījumiem nepieciešams izstrādāt grozījumus trijos Ministru kabineta noteikumos. Ievērojot, ka likumprojekts neparedz grozījumus kādā pilnvarojumā Ministru kabinetam, lūdzam izvērtēt, vai attiecīgo pilnvarojumu Ministru kabinetam apjoms būs atbilstošs, lai spēkā esošos Ministru kabineta noteikumus papildinātu ar jaunu regulējumu, kā arī nepieciešamības gadījumā attiecīgi precizēt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23-TA-989</w:t>
    </w:r>
    <w:r>
      <w:br/>
    </w:r>
    <w:r w:rsidR="00000000" w:rsidRPr="00000000" w:rsidDel="00000000">
      <w:rPr>
        <w:rtl w:val="0"/>
      </w:rPr>
      <w:t xml:space="preserve">Izdrukāts 20.05.2023. 12.19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23-TA-989</w:t>
    </w:r>
    <w:r>
      <w:br/>
    </w:r>
    <w:r w:rsidR="00000000" w:rsidRPr="00000000" w:rsidDel="00000000">
      <w:rPr>
        <w:rtl w:val="0"/>
      </w:rPr>
      <w:t xml:space="preserve">Izdrukāts 20.05.2023. 12.19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Atzinumi_23-TA-989.docx</dc:title>
</cp:coreProperties>
</file>

<file path=docProps/custom.xml><?xml version="1.0" encoding="utf-8"?>
<Properties xmlns="http://schemas.openxmlformats.org/officeDocument/2006/custom-properties" xmlns:vt="http://schemas.openxmlformats.org/officeDocument/2006/docPropsVTypes"/>
</file>