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kas radusies 3.1.2.1.i investīcijas 2. kārtas ietvaros attiecībā uz Salaspils pašvaldībā pielāgoto mājokli, kad atbalstu saņēmusī persona (pielāgots mājoklis) pārdevusi īpašumu, bet šobrīd normatīvajos aktos nav atrunāta rīcība, t.sk. par Centrālās finanšu un līgumu aģentūras (turpmāk – CFLA) maksāšanas tiesībām, pienākumiem pašvaldībai šādā situācijā, kā arī par vēl kopumā apzināmu situāciju citos projektos, lūdzam Labklājības ministriju (turpmāk – LM) noteikti iekļaut vismaz šo Ministru kabineta (turpmāk – MK) noteikumu grozījumu anotācijā šī riska situācijas aprakstu un plānoto rīcību. Attiecīgi lūdzam anotācijā iekļaut informāciju par plānoto rīcību, risku izvērtējumu, lai nav nepilnīga informācija par esošajiem riskiem. Tāpat aicinām pārskatīt kopējo sistēmisko pieeju, t.sk. regulējumu, sniedzot publisko līdzekļu atbalstu, lai ieguldījums sasniedz mērķi, t.i. mērķa grupu, t.i. jānovērš situācijas, kad investīcijas patiesais mērķis netiek sasniegts. Ja LM rosina citu rīcību, vai plāno risināt nākamajos MK noteikumu grozījumos vai kādā informatīvā ziņojumā MK vai citādi, lūdzam anotācijā iekļaut informāciju, kāds ir LM rīcības plāns (t.sk. ar CFLA saskaņots rīcības plāns, ciktāl attiecas uz Atveseļošanas un noturības mehānisma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25.05.2026.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25.05.2026.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