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iesaista ne mazāk kā divus starptautiskus ekspertus,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svītrojot prasību pēc vismaz divu tieši starptautisku ekspertu piesaistes, bet piesaistot tos pēc nepieciešamības - nacionāla vai starptautiska līmeņa - taču atbilstoši šim: nav saistīti ar projektu Komisijas regulas Nr. 2018/1046 61. panta izpratnē, un nosaka tam nepieciešamo kvalifikāciju, ko saskaņo ar atbildīgo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Minams, ka, piemēram, aizsardzības jomā svarīga ir gan nacionāla, gan starptautiskā dimensija, bet tieši arī lokālo aizsardzības spēju attīstības prioritātes tieši var sekmēt jaunu produktu un pakalpojumu attīstību Latvijā, ko var vērtēt šāds nacionālais eksperts, pēc tam arī nodrošinot starptautisko tirgu apgūšanu, ko var savukārt vērtēt šāds starptautisks eksperts.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un citu saistītu pazīmju un pielietojuma vērtēšanai, kā arī starpposma un noslēguma rezultātu zinātniskās kvalitātes izvērtēšanā, ko neveic šo noteikumu 19. punktā minētais nacionālais eksperts, iepirkuma procedūrā iesaista ne mazāk kā </w:t>
            </w:r>
            <w:r w:rsidR="00000000" w:rsidRPr="00000000" w:rsidDel="00000000">
              <w:rPr>
                <w:u w:val="single"/>
                <w:rtl w:val="0"/>
              </w:rPr>
              <w:t xml:space="preserve">divus nacionāla vai starptautiska līmeņa ekspertus</w:t>
            </w:r>
            <w:r w:rsidR="00000000" w:rsidRPr="00000000" w:rsidDel="00000000">
              <w:rPr>
                <w:rtl w:val="0"/>
              </w:rPr>
              <w:t xml:space="preserve">, kas nav saistīti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pētniecības projekta īstenošanai nepieciešamo privāto līdzfinansējumu nevar ieguldīt natūrā.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precizēt šī punkta normu, jo nav skaidrs - vai privātais līdzfinansējums var vai nevar būt natūrā (ne monetārs/naudiskā izteiksmē).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minēta pretrunīgs skaidrojums: "Skaidrojam, ka </w:t>
            </w:r>
            <w:r w:rsidR="00000000" w:rsidRPr="00000000" w:rsidDel="00000000">
              <w:rPr>
                <w:u w:val="single"/>
                <w:rtl w:val="0"/>
              </w:rPr>
              <w:t xml:space="preserve">privāto līdzfinansējumu nevar ieguldīt natūrā</w:t>
            </w:r>
            <w:r w:rsidR="00000000" w:rsidRPr="00000000" w:rsidDel="00000000">
              <w:rPr>
                <w:rtl w:val="0"/>
              </w:rPr>
              <w:t xml:space="preserve">, taču lai nodrošinātu efektīvu projekta īstenošanu(papildinot publisko finansējumu) </w:t>
            </w:r>
            <w:r w:rsidR="00000000" w:rsidRPr="00000000" w:rsidDel="00000000">
              <w:rPr>
                <w:u w:val="single"/>
                <w:rtl w:val="0"/>
              </w:rPr>
              <w:t xml:space="preserve">projekta iesniedzējs nodrošina privāto līdzfinansējumu un citus privātos resursus, t.sk. īpašumā esošo mant</w:t>
            </w:r>
            <w:r w:rsidR="00000000" w:rsidRPr="00000000" w:rsidDel="00000000">
              <w:rPr>
                <w:rtl w:val="0"/>
              </w:rPr>
              <w:t xml:space="preserve">u, intelektuālo īpašumu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normas un skaidrojuma nav saprotams, vai, piemēram, komersants, kurš īsteno projektu, savas esošās iekārtas, to izmantošanu (un ar to izmantošanu saistītās izmaksas) vai materiālus var attiecināt kā privāto līdzfinansējumu vai nevar.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pēc atbildīgās iestādes pieprasījuma 10 darbdienu laikā, bet ne retāk kā reizi gadā, iesniedz atbildīgajai iestādei informāciju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un tā apakšpunktus, ņemot vērā, ka, piemēram, dati “vai eksporta apjoms atbalstītajam komersanta pieaug par vismaz 10 procentiem piecu gadu laikā no noslēgumu pārskata iesniegšanas” attiecas tikai uz datu iesniegšanas periodu pēc projekta pabeigšanas, nevis 63.punktā minēto normu kopumā - ne retāk kā reizi gadā (tas ir, šos datus par procentuālo pieaugumu 10% var iesniegt tikai 5.gadā pēc tam, kad ir iesniegts noslēguma pārskats - ātrāk to nav iespējams zināt - līdz tam var informēt tikai par eksporta apjomu iepriekšējā noslēgtā pārskata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precizēt – cik ilgā periodā tad šie dati ir jāiesniedz. Vai tie būtu 5 gadi vēl pēc projekta realizēšanas (lai novērtētu 10% pieauguma prasības izpildi saskaņā ar 63.1. un 63.2.minēto), vai arī saskaņā ar izziņā minēto: “Skaidrojam, ka komersantam nepieciešams sniegt informāciju par eksporta apjomu 3 gadu periodā pēc noslēguma pārskata iesniegšanas vadības informācijas sistēmā, informējot Ekonomikas ministriju par eksporta apjoma pieaugumu vismaz 10%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Līdzvērtīgi ir arī ar produktivitātes rādītājiem, ko nosaka 63.2.apakšpunkts.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pēc atbildīgās iestādes pieprasījuma 10 darbdienu laikā iesniedz atbildīgajai iestādei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komersanta eksporta apjomu par iepriekšējo noslēgto pārskata gadu ne retāk kā reizi gadā, kā arī noteiktajā projekta atskaites periodā informējot, vai eksporta apjoms atbalstītajam komersanta pieaug par vismaz 10 procentiem piecu gadu laikā no noslēgumu pārskata iesniegšanas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komersanta produktivitātes apjomu par iepriekšējo noslēgto pārskata gadu ne retāk kā reizi gadā, kā arī noteiktajā projekta atskaites periodā informējot, vai produktivitātes apjoms atbalstītajam komersantam pieaug par vismaz 10 procentiem piecu gadu laikā no noslēgumu pārskata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01.07.2024.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01.07.2024.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