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aprakstu par </w:t>
            </w:r>
            <w:r w:rsidR="00000000" w:rsidRPr="00000000" w:rsidDel="00000000">
              <w:rPr>
                <w:u w:val="single"/>
                <w:rtl w:val="0"/>
              </w:rPr>
              <w:t xml:space="preserve">atbalstāmajām darbībām</w:t>
            </w:r>
            <w:r w:rsidR="00000000" w:rsidRPr="00000000" w:rsidDel="00000000">
              <w:rPr>
                <w:rtl w:val="0"/>
              </w:rPr>
              <w:t xml:space="preserve">  -</w:t>
            </w:r>
            <w:r w:rsidR="00000000" w:rsidRPr="00000000" w:rsidDel="00000000">
              <w:rPr>
                <w:i w:val="1"/>
                <w:rtl w:val="0"/>
              </w:rPr>
              <w:t xml:space="preserve">1) indukcijas gada atbalsts pedagogu sagatavošanas studiju programmu absolventiem pirmo gadu pēc skolotāja kvalifikācijas iegūšanas a) individuāls atbalsts profesionālās pilnveides grupās</w:t>
            </w:r>
            <w:r w:rsidR="00000000" w:rsidRPr="00000000" w:rsidDel="00000000">
              <w:rPr>
                <w:rtl w:val="0"/>
              </w:rPr>
              <w:t xml:space="preserve">, norādot, kādi  individuālā atbalsta  pasākumi plānoti profesionālās pilnveides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lūdzu papildināt aprakstu par </w:t>
            </w:r>
            <w:r w:rsidR="00000000" w:rsidRPr="00000000" w:rsidDel="00000000">
              <w:rPr>
                <w:u w:val="single"/>
                <w:rtl w:val="0"/>
              </w:rPr>
              <w:t xml:space="preserve">tiešajām attiecināmajām izmaksām</w:t>
            </w:r>
            <w:r w:rsidR="00000000" w:rsidRPr="00000000" w:rsidDel="00000000">
              <w:rPr>
                <w:rtl w:val="0"/>
              </w:rPr>
              <w:t xml:space="preserve"> - 1</w:t>
            </w:r>
            <w:r w:rsidR="00000000" w:rsidRPr="00000000" w:rsidDel="00000000">
              <w:rPr>
                <w:i w:val="1"/>
                <w:rtl w:val="0"/>
              </w:rPr>
              <w:t xml:space="preserve">) tiešās attiecināmās personāla izmaksas, kuras ietver projekta vadības personāla un īstenošanas personāla atlīdzības izmaksas. Personāla izmaksas plānots attiecināt atbilstoši vienas vienības izmaksu standarta likmes metodikai; </w:t>
            </w:r>
            <w:r w:rsidR="00000000" w:rsidRPr="00000000" w:rsidDel="00000000">
              <w:rPr>
                <w:rtl w:val="0"/>
              </w:rPr>
              <w:t xml:space="preserve">- skaidrojot, vai īstenošanas personāla atlīdzības izmaksas plānotas periodā, kad netiek paredzēts mērķa grupas izmaksas un atbalsta pasākumi, atbilstoši MK noteikumu 28.punktā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izsludināt projektu iesniegumu atlasi pēc projekta iesnieguma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protokollēmuma 3.punktu. Vēršam uzmanību, ka 4.2.2.7.pasākuma projektu iesniegumu vērtēšanas kritēriji jau ir apstiprināti 26.01.2023. Uzraudzības komitejas sēdē. Ievērojot to, ka šis protokollēmuma punkts kļūs saistošs tikai pēc noteikumu projekta apstiprināšanas Ministru kabinetā un kritēriju komplekts jau ir apstiprināts, nesaskatām nepieciešamību paredzēt specifiskus nosacījumus atlases izsludināšanas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09.02.2023.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09.02.2023.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