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satur nepārprotamu nekustamā īpašuma īpašnieka piekrišanu iesniedzēja plānotajām darbībām šo noteikumu izpratnē un tās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asociācijas ieskatā vienkāršai vienošanās starp starp iesniedzēju un nekustamā īpašuma īpašnieku nav pietiekami liels juridisks spēks, lai uz tās pamata uzsāktu apjomīga investīciju projekta realizāciju. Ir jābūt noslēgtam apbūves tiesības līgumam vai ir apbūvejamai zemei ir jābūt attīstītāja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zemesgrāmatās ieraksta nekustamus īpašumus un nostiprina ar tiem saistītās tiesības, kā arī tās ir visiem pieejamas, to ierakstiem ir publiska ticamība, padarot procesu caurspīdīgāku.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Apbūves tiesības līgumu starp iesniedzēju un nekustamā īpašuma, kurā plānots ieviest jaunu elektroenerģijas ražošanas iekārtu vai palielināt esošo elektroenerģijas ražošanas jaudu, īpašnieku, ja attiecīgais nekustamais īpašums nav iesniedzēja īpašumā vai nav zemesgrāmatas ieraksta par apbūves tiesību nostiprinājumu. Apbūves tiesības līgums satur nepārprotamu nekustamā īpašuma īpašnieka piekrišanu iesniedzēja plānotajām darbībām šo noteikumu izpratnē un tās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turētājam ir tiesības lūgt pārreģistrēt atļauju uz citu personu, ja starp atļaujas turētāju un sistēmas operatoru ir noslēgta </w:t>
            </w:r>
            <w:r w:rsidR="00000000" w:rsidRPr="00000000" w:rsidDel="00000000">
              <w:rPr>
                <w:rtl w:val="0"/>
              </w:rPr>
              <w:t xml:space="preserve">12.</w:t>
            </w:r>
            <w:r w:rsidR="00000000" w:rsidRPr="00000000" w:rsidDel="00000000">
              <w:rPr>
                <w:rtl w:val="0"/>
              </w:rPr>
              <w:t xml:space="preserve">punktā minētā pieslēguma procesa īstenošanas vienošanās, Birojs pieņem lēmumu par atļaujas pārreģistrēšanu, nemainot pārreģistrējamās atļaujas nosacījumus, un informē par to sistēmas operatoru, kura sistēmai elektroenerģijas ražošanas iekārtu plānots pieslēgt, ja uz personu, uz kuru iecerēts pārreģistrēt atļauju, nav attiecināmi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apakšpunktā minētie kritēriji. Atļauja var tikt pārreģistrēta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saglabā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33. pants samērā šauri nosaka situācijas, kādās iespējama administratīvā procesa dalībnieku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33.pants. Administratīvā procesa dalībnieku procesuālo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kāds no administratīvā procesa dalībniekiem lietā izstājas (fiziskās personas nāve, juridiskās personas izbeigšanās u.c.), iestāde vai tiesa var aizstāt šo administratīvā procesa dalībnieku ar viņa tiesību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ir ierobežotas ar apstākļiem, kas nav atkarīgi no paša dalībnieka gribas. Ņemot vērā atļauju un arī uz to pamata izsniegto sistēmas operatoru tehnisko noteikumu lielo skaitu, kas šobrīd ierobežo pieeju sistēmas operatoru tīkliem citiem attīstītājiem, iespēja pārreģistrēt atļauju uz jebkādas citas slēptas vienošanās pamata nav pieļaujama. Ja uzsāktā projekta realizāciju tā sākotnējais pieteicējs nerealizē, taču vienlaikus to vēlas darīt cits komersants, pirmajam ir paredzēta iespēja atteikties no atļaujas, bet otrajam ir iespēja iesniegt noteikumos paredzētos noteikumus no sava vārda un to atbilstības gadījumā saņemt jaunu atļauju. Vienlaikus APL 33. panta tvērums jau šobrīd ļauj veikt atļauju pārreģistrāciju šauri specifiskos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Attīstītājiem, veidojot uzņēmuma struktūru, jābūt skaidrai vīzijai par attīstāmo projektu nākotni. Paredzot atļauju pārreģistrēšanu, tiek atbalstīta sliktas plānošanas prakse un negodīga komercprakse.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pārreģistrēšanai atļaujas turētājs un persona, uz kuru iecerēts veikt pārreģistrēšanu, birojam iesniedz divpusēji parakstītu iesniegumu par atļaujas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kā arī šo noteikumu </w:t>
            </w:r>
            <w:r w:rsidR="00000000" w:rsidRPr="00000000" w:rsidDel="00000000">
              <w:rPr>
                <w:rtl w:val="0"/>
              </w:rPr>
              <w:t xml:space="preserve">2.4.</w:t>
            </w:r>
            <w:r w:rsidR="00000000" w:rsidRPr="00000000" w:rsidDel="00000000">
              <w:rPr>
                <w:rtl w:val="0"/>
              </w:rPr>
              <w:t xml:space="preserve"> apakšpunktā minētā dokumenta kopiju. Gadījumā, ja atļaujas turētājs lūdz vienlaikus atmaksāt drošības naudu, iesniegumam par lēmuma pārreģistrēšanu pievieno  šo noteikumu </w:t>
            </w:r>
            <w:r w:rsidR="00000000" w:rsidRPr="00000000" w:rsidDel="00000000">
              <w:rPr>
                <w:rtl w:val="0"/>
              </w:rPr>
              <w:t xml:space="preserve">2.3.</w:t>
            </w:r>
            <w:r w:rsidR="00000000" w:rsidRPr="00000000" w:rsidDel="00000000">
              <w:rPr>
                <w:rtl w:val="0"/>
              </w:rPr>
              <w:t xml:space="preserve">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22. punktu, pamatojoties uz iebildumiem, kas izteikti noteikumu 21.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22. punktu, pamatojoties uz iebildumiem, kas izteikti noteikumu 21.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