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un sekmējot profesionālo mobilitāti" 4.2.4.1. pasākuma "Atbalsts nozaru vajadzībās balstītai pieaugušo izglītībai" pirmās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projekta 3. punktā noteikto pasākuma 1. kārtas atbalsta mērķi, tostarp veicināt “sekmēt darbaspēka produktivitātes paaugstināšanu”, aicinām MK noteikumu projektā noteikt attiecīgo nacionālo rādītāju, lai novērtētu SAM 4.2.4.1. 1. kārtas ieguldījumu ietekmi uz darbaspēka produktivitātes kāpumu.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un sekmējot profesionālo mobilitāti" 4.2.4.1. pasākuma "Atbalsts nozaru vajadzībās balstītai pieaugušo izglītībai" pirmās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tālākizglītības un kvalifikācijas paaugstināšanas programmu absolventu monitoringu, kuru īsteno CSP vienotās cilvēkkapitāla pārvaldības sistēmas ietvaros, aicinām nodrošināt vienoto pieeju datu kopu par mācībām, mācību īstenotāju un mācību dalībnieku uzkrāšanai. Patlaban MK noteikumi neparedz datu uzkrāšanu par izglītības programmas kodu un tematiskām jomām, iestādes reģistrācijas numuru un izglītības līmeņa kodiem (kur attiecināms) u.c. Ievērojot minēto, lūdzam konsultēties un saskaņot ar CSP vienotam monitoringam nepieciešamās datu kopas un paredzēt šādu datu kopu uzkrāsānu MK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un sekmējot profesionālo mobilitāti" 4.2.4.1. pasākuma "Atbalsts nozaru vajadzībās balstītai pieaugušo izglītībai" pirmās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iepriekšējās MK Noteikumu projekta redakcijas 10. un 11. punkta par </w:t>
            </w:r>
            <w:r w:rsidR="00000000" w:rsidRPr="00000000" w:rsidDel="00000000">
              <w:rPr>
                <w:i w:val="1"/>
                <w:rtl w:val="0"/>
              </w:rPr>
              <w:t xml:space="preserve">Apvienotas pieaugušo izglītības koordinācijas komisijas izveidi un komisijas pilnvarām attiecībā uz mācību prioritāšu noteikšanu</w:t>
            </w:r>
            <w:r w:rsidR="00000000" w:rsidRPr="00000000" w:rsidDel="00000000">
              <w:rPr>
                <w:rtl w:val="0"/>
              </w:rPr>
              <w:t xml:space="preserve"> svītrošanai precizētajā MK Noteikumu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viedokli, ka MK noteikumu projektā finansējuma saņēmējiem (vai Ekonomikas ministrijai kā atbildīgajai iestādei) ir jāparedz pienākums regulāri prezentēt darba devēju identificētās mācību vajadzības (vienojoties par periodiskumu, piem., reizi pusgadā vai gadā) Apvienotajā pieaugušo izglītības koordinācijas komisijā, lai attiecīgi koriģētu kopējo mācību pasūtījumu citu resoru ES fondu projektos pirms mācību piedāvājuma veidošanas. Atbilstoši vienotai pārvaldības pieejai par kuru tika panākta vienošanās Cilvēkkapitāla attīstības padomē, Apvienotās pieaugušo izglītības koordinācijas komisijas rīcībā ir jābūt visaptverošai mācību vajadzību informācijai, lai varētu lemt par mācību prioritātēm šajā un arī citās ES fondu līdzfinansētās atbalsta aktivitātēs.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mācības – darba devēja vajadzībās balstītas organizētās mācības formālās vai neformālās izglītības, kā arī citas mācīšanās aktivitātes ietvaros klātienes, tiešsaistes vai hibrīdformā, kas komersanta darbiniekiem nodrošina iespēju iegūt vai pilnveidot nepieciešamās prasmes vai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"ietvaros" aiz vārdiem "neformālās izglītības", lai loģiski noslēgtu teikumā izteikto domu par mācībām formālās un neformālās izglītības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Puriņa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pieredze prasmju pilnveides projektu un nozares specialistu  kompetenču celšanas pasākumu īstenošanā , kur projekta kopējā attiecināmā summa ir no 250 000 euro līdz 499 999 euro, ja rādītāju apguve ir vismaz 100% vai vismaz 2000 apmācītu nozares specialistu 3 gadu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13.7 apakšpunktā aizstāt jēdzienu ‘apmācītu’ ar ‘mācības pabeigušo’ vai ‘izglītoto’.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anotācijas projektā lūdzam aktualizēt informāciju par Latvijas atveseļošanas un noturības plāna atskaites punkta Nr.57 (CID) “Kritēriju, kārtības un atbalsta pasākumu pieņemšana attiecībā uz stimuliem un atbildību uzņēmumiem (jo īpaši mazajās un vidējās nozarēs) izglītot savus darbiniekus” plānoto izpildi un precizēto MK noteikumu sasaisti ar minētā rādītāja izpildi. Vēršam uzmanību, ka anotācijā patlaban sniegtā informācija neatbilst precizētajai MK noteikumu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“Vienlaikus ar šo pasākuma pirmo kārtu tiks izpildīts Padomes īstenošanas lēmuma par Latvijas atveseļošanas un noturības plāna novērtējuma apstiprināšanu (CID) atskaites punkts Nr.57 “Kritēriju, kārtības un atbalsta pasākumu pieņemšana attiecībā uz stimuliem un atbildību uzņēmumiem (jo īpaši mazajās un vidējās nozarēs) izglītot savus darbiniekus. Pēc Eiropas struktūrfondu finansējumā plānots, ka EM, IZM, LM vai jebkura valsts vai pašvaldības iestāde var veikt veikt pieprasījumu valsts budžeta prioritātēs vai arī MKN projekta īstenošanas laikā un attiecīgi MK Noteikumus iespējams papildināt ar papildus aktivitātēm, tādējādi nodrošinot projekta ilgtspēju.  Plānots, ka minēto lēmumu skata šo MK Noteikumu 10.punktā noteiktajā Komisijā, kas ir EM, IZM un LM izveidots pārraudzības institūts cilvēkkapitāla attīstības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23-TA-958</w:t>
    </w:r>
    <w:r>
      <w:br/>
    </w:r>
    <w:r w:rsidR="00000000" w:rsidRPr="00000000" w:rsidDel="00000000">
      <w:rPr>
        <w:rtl w:val="0"/>
      </w:rPr>
      <w:t xml:space="preserve">Izdrukāts 12.06.2024.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23-TA-958</w:t>
    </w:r>
    <w:r>
      <w:br/>
    </w:r>
    <w:r w:rsidR="00000000" w:rsidRPr="00000000" w:rsidDel="00000000">
      <w:rPr>
        <w:rtl w:val="0"/>
      </w:rPr>
      <w:t xml:space="preserve">Izdrukāts 12.06.2024.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Atzinumi_23-TA-958.docx</dc:title>
</cp:coreProperties>
</file>

<file path=docProps/custom.xml><?xml version="1.0" encoding="utf-8"?>
<Properties xmlns="http://schemas.openxmlformats.org/officeDocument/2006/custom-properties" xmlns:vt="http://schemas.openxmlformats.org/officeDocument/2006/docPropsVTypes"/>
</file>