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M.3.1.4. pasākums “Sniegt finansiālu un tehnisku atbalstu enerģētiskās nabadzības riskam pakļautajām mājsaimniecībām veco neefektīvo sadedzināšanas iekārtu nomaiņai (jauna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piekrītot, ka jautājumu var risināt un vajag risināt pašvaldību ietvaros, uzskata, ka attiecībā uz mājokļu energoefektivitāti tas būtu jādara par mājokļiem atbildīgajam departamentam un, ja tāda pašvaldībā nav, tad attiecīgajiem speciālistiem, kuri ir specializējušies mājokļu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ne visas mājsaimniecības, kurām būtu nepieciešams minētais atbalsts, ir pašvaldību sociālo dienestu redzes lokā. Vēršam uzmanību, ka pašvaldību sociālo dienestu uzdevumi ir skaidri definēti Sociālo pakalpojumu un sociālās palīdzības likumā un šajos uzdevumos neietilps iedzīvotāju mājokļu pielāgošana atbilstoši Smalko daļiņu, amonjaka, slāpekļa oksīdu, gaistošo organisko savienojumu un sēra dioksīda emisiju samazināšanas rīcības plānā 2025.-2030.gadam minētajiem rīcības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pasākuma izvēles pamatojumā svītrot norādi uz sociālajiem dienestiem (izslēdzamie vārdi pasvītroti slīprakstā):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izvēles pamatojums: Īstenojot esošās atbalsta programmas, nav sasniegta efektīva enerģētiskās nabadzības riskam pakļauto  mājsaimniecību iesaiste. Ir nepieciešams būtiski palielināt pašvaldības lomu šīs mērķgrupas iesaistē un motivēšanā, paredzot sadarbību ar pašvaldību </w:t>
            </w:r>
            <w:r w:rsidR="00000000" w:rsidRPr="00000000" w:rsidDel="00000000">
              <w:rPr>
                <w:i w:val="1"/>
                <w:u w:val="single"/>
                <w:rtl w:val="0"/>
              </w:rPr>
              <w:t xml:space="preserve">sociālajiem dienestiem</w:t>
            </w:r>
            <w:r w:rsidR="00000000" w:rsidRPr="00000000" w:rsidDel="00000000">
              <w:rPr>
                <w:rtl w:val="0"/>
              </w:rPr>
              <w:t xml:space="preserve">. Sadarbības formas ir jāizstrādā atbilstoši konkrētās atbalsta programmas specifikai. Tāpat atbalsts minētajām mājsaimniecībām būtu sniedzams (investīciju) granta veidā, konkrētu iepriekš definētu atbalsta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izvēles pamatojums: Īstenojot esošās atbalsta programmas, nav sasniegta efektīva enerģētiskās nabadzības riskam pakļauto mājsaimniecību iesaiste. Ir nepieciešams būtiski palielināt pašvaldības lomu šīs mērķgrupas iesaistē un motivēšanā, paredzot sadarbību ar pašvaldību. Sadarbības formas ir jāizstrādā atbilstoši konkrētās atbalsta programmas specifikai. Tāpat atbalsts minētajām mājsaimniecībām būtu sniedzams (investīciju) granta veidā, konkrētu iepriekš definētu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M.1.3.2. pasākums “Sniegt finansiālu atbalstu emisiju attīrīšanas iekārtu uzstādīšanai sadedzināšanas iekārtās vai esošo sadedzināšanas iekārtu nomaiņai uz videi draudzīgākām (jauna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pasākuma līdzatbildīgo institūciju loka izslēgt Labklājības ministriju, tā kā tā ir tehniska neprecizitāte, kā noskaidrojām un vienojāmies telefonsarunā.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