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nacionālo programmas saskaņošanas procesu, ir jāsaņem EK atbilde par sadarbības tīklu ieviešanas shēmu un MKN projektu. Lūdzam attiecīgi izvērtēt MKN projekta turpmāku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Investīcijas ietvaros sadarbības tīkli ir atbildīgi par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vai dzēst šo punktu, jo finansējuma saņēmēji nevar būt atbildīgi par kopējo investīcijas rādītāju sasniegšanu, bet tikai par savā projektā noteikto rādītāju sasniegšanu, pie tam MK noteikumu Nr. 621. 8.1. apakšpunktā ir noteikts:</w:t>
            </w:r>
            <w:r w:rsidR="00000000" w:rsidRPr="00000000" w:rsidDel="00000000">
              <w:rPr>
                <w:i w:val="1"/>
                <w:rtl w:val="0"/>
              </w:rPr>
              <w:t xml:space="preserve"> "[..] Atveseļošanas fonda plāna ietvaros noteikto reformu un investīciju atskaites punktu un mērķu sasniegšanu nodrošina attiecīgā nozares ministrija vai Valsts kanceleja atbilstoši Atveseļošanas fonda plānā noteiktajai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Nozares ministrijai ir šādi pienākumi: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2.pielikumā netiek iekļauti Kritēriju piemērošanas skaidrojumi atbilstoši iepriekš izteiktajiem priekšlikumiem, lūdzam MK noteikumu 16.punktu papildināt ar pienākumu nozares ministrijai izstrādāt kritēriju piemērošanas metodiku līdz atlases nolikuma izstrādes uzsākšanai.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iekšējās kontroles sistēmas (iekšējo kārtību) aprakstu, atbilstoši šo noteikumu </w:t>
            </w:r>
            <w:r w:rsidR="00000000" w:rsidRPr="00000000" w:rsidDel="00000000">
              <w:rPr>
                <w:rtl w:val="0"/>
              </w:rPr>
              <w:t xml:space="preserve">53.3. </w:t>
            </w:r>
            <w:r w:rsidR="00000000" w:rsidRPr="00000000" w:rsidDel="00000000">
              <w:rPr>
                <w:rtl w:val="0"/>
              </w:rPr>
              <w:t xml:space="preserve">apakšpunktā</w:t>
            </w:r>
            <w:r w:rsidR="00000000" w:rsidRPr="00000000" w:rsidDel="00000000">
              <w:rPr>
                <w:rtl w:val="0"/>
              </w:rPr>
              <w:t xml:space="preserve">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MK noteikumu 21.4.apakšpunktu, Ņemot vērā, ka projekta iesniedzējs, iesniedzot projekta iesniegumu, apliecina, ka organizācijā ir izstrādāta iekšējās kontroles sistēma atbilstoši MK noteikumu prasībām, pievienot to projekta iesniegumam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Aģentūra konstatē nepilnības projekta iesniegumā, tā rakstiski informē projekta iesniedzēju,  par veicamajiem labojumiem, lai projekta iesniegums pilnībā atbilstu projektu iesniegumu vērtēšanas kritērijiem. Ja kāds no noteiktajiem nosacījumiem netiek izpildīts vai netiek izpildīts noteiktajā termiņā, vai, ja projekta iesniedzēja iesniegtās informācijas dēļ, projekta iesniegums neatbilst projektu iesniegumu vērtēšanas kritērijiem, tiek pieņemts lēmums projekta iesnieguma noraidīšanu. Savukārt, ja nosacījumi tiek izpildīti, Aģentūra pieņem lēmumu par projekta iesnieguma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noteikumu 31.punkta pēdējo teikumu šādā redakcijā: "Savukārt, ja nosacījumi tiek izpildīti, Aģentūra izdod atzinumu par nosacījumu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nodrošinātu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rādītāju sasniegšanu, Aģentūrai ir pienākums izvērtēt atlikušo finansējumu un aicināt projekta iesniedzēju pārskatīt projekta iesniegumu, palielinot aktivitāšu skaitu un finansējumu. Ja projekta iesniedzējs neizrāda interesi un nepalielina aktivitāšu skaitu un finansējumu, Aģentūrai ir tiesības rīkot jaunu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34. punktu,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Palielinot projekta tvērumu un finansējuma apmēru, ir jāņem vērā MK noteikumu projekta 12.punktā noteikto viena projekta iesnieguma maksimāli pieļaujamo Atveseļošanas fonda finansējuma apmēru, kā arī vai </w:t>
            </w:r>
            <w:r w:rsidR="00000000" w:rsidRPr="00000000" w:rsidDel="00000000">
              <w:rPr>
                <w:i w:val="1"/>
                <w:rtl w:val="0"/>
              </w:rPr>
              <w:t xml:space="preserve">de minimis</w:t>
            </w:r>
            <w:r w:rsidR="00000000" w:rsidRPr="00000000" w:rsidDel="00000000">
              <w:rPr>
                <w:rtl w:val="0"/>
              </w:rPr>
              <w:t xml:space="preserve"> atbalsts nepārsniedz Komisijas regulas Nr. 1407/2013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Izmaiņas projekta iesniegumā plānotajās aktivitātēs, rādītājos un finansējuma apmērā ir uzskatāmas par būtiskām izmaiņām projekta iesniegumā, kas nav pieņemamas pēc lēmuma par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papildus finansējums tiek piešķirts konkrētam projektu iesniedzēju lokam, tas ir pretrunā ar atklātas projektu iesniegumu atlases principiem, kas paredz vienlīdzīgu konkurenci par Atveseļošanas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Aģentūra var rīkot jaunu projekta iesniegumu atlasi tikai tad, ja to paredz investīcijas MK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pārskatīt aprakstu par CID rādītāja "apstiprināti projekti" sadalījumu pa kārtām - pa kārtām sadalītā finansējuma kopsumma neatbilst mērķa vērtībai (kopsummā sanāk 98 000 020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noteikumos un anotācijā nav noteikti kritēriji, kā nosakāma sadarbības tīkla darbības atbilstība kādai viedās specializācijas jomai, vienīgi skaidrots, ka aģentūra, lai noteiktu sadarbības tīkla atbilstību viedās specializācijas jomām, informāciju var iegūt no Viedās specializācijas stratēģijas un veiktajiem monitoringa ziņojumiem, lūdzam papildināt anotācijas apakšpunktu "Projektu iesniegumu vērtēšanas kritēriji un projektu iesniegumu atlases kārtība", nosakot, ka vērtējumu par sadarbības tīkla darbības atbilstību viedās specializācijas jomām projektu iesniegumu vērtēšanas procesā sniedz projektu iesniegumu vērtēšanas komisijas nozares ministrijas pārstāvis.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Aģentūrai, papildus, Ministru kabineta 2021. gada 7. septembra noteikumu Nr. 621 "Eiropas Savienības Atveseļošanas un noturības mehānisma plāna īstenošanas un uzraudzības kārtība"  (turpmāk  – noteikumi Nr. 621) 2. un 9. punktā noteiktajam,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17. punkta apakšpunkti dublē MK noteikumos Nr.621 CFLA noteiktās funkcijas. Lūdzam 17. punktu izteikt šādā redakcijā: </w:t>
            </w:r>
            <w:r w:rsidR="00000000" w:rsidRPr="00000000" w:rsidDel="00000000">
              <w:rPr>
                <w:i w:val="1"/>
                <w:rtl w:val="0"/>
              </w:rPr>
              <w:t xml:space="preserve">"Aģentūrai ir šādi pienākumi:"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izlases veidā vai pamatojoties uz Aģentūras noteikto projekta riska līmeni, sadarbības tīkla līmenī veikt: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17.2. apakšpunktu šādā redakcijā: </w:t>
            </w:r>
            <w:r w:rsidR="00000000" w:rsidRPr="00000000" w:rsidDel="00000000">
              <w:rPr>
                <w:i w:val="1"/>
                <w:rtl w:val="0"/>
              </w:rPr>
              <w:t xml:space="preserve">"17.2. izlases veidā un pamatojoties uz Aģentūras noteikto projekta riska līmeni, sadarbības tīkla līmenī veikt:"</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pārbaudes par interešu konflikta, krāpšanas, korupcijas, dubultā finansējuma riska novēršanu;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17.2.1. apakšpunktu un izteikt to šādā redakcijā: </w:t>
            </w:r>
            <w:r w:rsidR="00000000" w:rsidRPr="00000000" w:rsidDel="00000000">
              <w:rPr>
                <w:i w:val="1"/>
                <w:rtl w:val="0"/>
              </w:rPr>
              <w:t xml:space="preserve">"pārbaudes, vai investīcijas īstenošanā nav konstatējamas pazīmes, kas liecina par pieļautu interešu konflikta, korupcijas, krāpšanas vai dubultā finansējuma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pārbaudes projektu īstenošanas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17.2.2.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vadlīnijas, kādā tiek piešķirts komercdarbības atbalsta piešķiršanai sadarbības tīkla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atbildīgajai iestādei, izstrādājot MK noteikumu 2.pielikumā paredzēto projektu iesniegumu vērtēšanas kritēriju piemērošanas metodiku, vērtēšanas kritērija Nr.1. piemērošanas skaidrojumā nepieciešams noteikt vadlīniju, kādā tiek piešķirts komercdarbības atbalsta piešķiršanai sadarbības tīkla dalībniekiem, vērtēšanas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Lai nodrošinātu investīcijas atbilstību principam “nenodarīt būtisku kaitējumu” piemērošanu saskaņā ar Eiropas Parlamenta un Padomes 2021. gada 12. februāra Regulas (ES) 2021/241, ar ko izveido Atveseļošanas un noturības mehānismu  (turpmāk – Komisijas regulas Nr. 2021/241) 2. panta 6. punktu, investīcijas ietvaros Atveseļošanas fonda finansējumu nepiešķir šādām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atbildīgajai iestādei, izstrādājot MK noteikumu 2.pielikumā paredzēto projektu iesniegumu vērtēšanas kritēriju piemērošanas metodiku, vērtēšanas kritērija Nr.5. piemērošanas skaidrojumā nepieciešams noteikt, kā tiek vērtēta atbilstība MK noteikumu 22.punktam.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38.1.1. projekta iesniedzēja projekta vadības un projekta īstenošanas personāla atlīdzības izmaksas piesaistot projekta vadības personālu uz darba vai uzņēmuma līguma: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"un ar to saistītās darba algas nodokļu izmaksas", dzēst 38.1.1.2.apakšpunktu.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 projekta vadības un projekta īstenošanas personāla atlīdzības un ar to saistītās darba algas nodokļu izmaksas piesaistot projekta vadības personālu uz darba vai uzņēmuma līguma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53.3.1. preventīvus pasākumus un konstatēšanas pasākumus interešu konflikta riska kontrolei, t. sk. paziņošanas procedūru, labošanas pasākumus;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apakšpunktu ar atsauci uz Komisijas regulas Nr. 2018/1046 61.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avansa maksājums nepārsniedz 30% no projektam piešķirtā Atveseļošanas fonda finansējuma un tas jāizlieto 6 mēnešu laikā no saņemšanas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aizvietot vārdu "jāizlieto" uz "jāapgūst".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maksājums nepārsniedz 30% no projektam piešķirtā Atveseļošanas fonda finansējuma un tas jāapgūst 6 mēnešu laikā no saņemšanas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precizēt finansējuma sadalījumu pa gadiem, lai tas atbilstu izmaiņu ailēs atspoguļotajai ietekmei uz budžetu attiecīgajos gados. Vienlaikus vēršam uzmanību, ka 5., 6. un 8.ailē norādītā finansējuma kopsumma veido 5 248 430 euro, kas ir par 1 euro mazāk nekā noteikumu projekta 11.punktā paredzētais investīcijas kopējais pieejamais Atveseļošanas fonda finansējuma apmērs, attiecīgi lūdzam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04.08.2023.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04.08.2023.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Atzinumi_22-TA-2458.docx</dc:title>
</cp:coreProperties>
</file>

<file path=docProps/custom.xml><?xml version="1.0" encoding="utf-8"?>
<Properties xmlns="http://schemas.openxmlformats.org/officeDocument/2006/custom-properties" xmlns:vt="http://schemas.openxmlformats.org/officeDocument/2006/docPropsVTypes"/>
</file>