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AE58B" w14:textId="44ED03AA" w:rsidR="00C80B9B" w:rsidRPr="002660F1" w:rsidRDefault="007B47CC" w:rsidP="00C80B9B">
      <w:pPr>
        <w:spacing w:after="0"/>
        <w:jc w:val="center"/>
        <w:rPr>
          <w:rFonts w:ascii="Roboto" w:hAnsi="Roboto"/>
          <w:b/>
          <w:bCs/>
        </w:rPr>
      </w:pPr>
      <w:r>
        <w:rPr>
          <w:rFonts w:ascii="Roboto" w:hAnsi="Roboto"/>
          <w:b/>
          <w:color w:val="000000" w:themeColor="text1"/>
          <w:lang w:eastAsia="lv-LV"/>
        </w:rPr>
        <w:drawing>
          <wp:anchor distT="0" distB="0" distL="114300" distR="114300" simplePos="0" relativeHeight="251658240" behindDoc="1" locked="0" layoutInCell="1" allowOverlap="1" wp14:anchorId="633837C8" wp14:editId="2D8DBBCA">
            <wp:simplePos x="0" y="0"/>
            <wp:positionH relativeFrom="page">
              <wp:align>left</wp:align>
            </wp:positionH>
            <wp:positionV relativeFrom="paragraph">
              <wp:posOffset>-720090</wp:posOffset>
            </wp:positionV>
            <wp:extent cx="7559040" cy="10696409"/>
            <wp:effectExtent l="0" t="0" r="381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73" cy="10702681"/>
                    </a:xfrm>
                    <a:prstGeom prst="rect">
                      <a:avLst/>
                    </a:prstGeom>
                    <a:noFill/>
                    <a:ln>
                      <a:noFill/>
                    </a:ln>
                  </pic:spPr>
                </pic:pic>
              </a:graphicData>
            </a:graphic>
            <wp14:sizeRelH relativeFrom="page">
              <wp14:pctWidth>0</wp14:pctWidth>
            </wp14:sizeRelH>
            <wp14:sizeRelV relativeFrom="page">
              <wp14:pctHeight>0</wp14:pctHeight>
            </wp14:sizeRelV>
          </wp:anchor>
        </w:drawing>
      </w:r>
      <w:r w:rsidR="00C80B9B" w:rsidRPr="002660F1">
        <w:rPr>
          <w:rFonts w:ascii="Roboto" w:hAnsi="Roboto"/>
          <w:b/>
          <w:bCs/>
        </w:rPr>
        <w:t>Rīgā</w:t>
      </w:r>
    </w:p>
    <w:p w14:paraId="50F32A61" w14:textId="7C1DFEDE" w:rsidR="002660F1" w:rsidRDefault="002660F1" w:rsidP="00C80B9B">
      <w:pPr>
        <w:spacing w:after="0"/>
        <w:jc w:val="center"/>
        <w:rPr>
          <w:rFonts w:ascii="Roboto" w:hAnsi="Roboto"/>
          <w:b/>
          <w:bCs/>
        </w:rPr>
      </w:pPr>
    </w:p>
    <w:p w14:paraId="25C77B0B" w14:textId="77777777" w:rsidR="006011B1" w:rsidRDefault="006011B1" w:rsidP="00C80B9B">
      <w:pPr>
        <w:spacing w:after="0"/>
        <w:jc w:val="center"/>
        <w:rPr>
          <w:rFonts w:ascii="Roboto" w:hAnsi="Roboto"/>
          <w:b/>
          <w:bCs/>
        </w:rPr>
      </w:pPr>
    </w:p>
    <w:p w14:paraId="198EB69A" w14:textId="77777777" w:rsidR="00BA2393" w:rsidRPr="002660F1" w:rsidRDefault="00BA2393" w:rsidP="00C80B9B">
      <w:pPr>
        <w:spacing w:after="0"/>
        <w:jc w:val="center"/>
        <w:rPr>
          <w:rFonts w:ascii="Roboto" w:hAnsi="Roboto"/>
          <w:b/>
          <w:bCs/>
        </w:rPr>
      </w:pPr>
    </w:p>
    <w:p w14:paraId="1F1335CD" w14:textId="77777777" w:rsidR="00F5246B" w:rsidRDefault="00F5246B" w:rsidP="004E75E9">
      <w:pPr>
        <w:spacing w:after="0"/>
        <w:jc w:val="right"/>
        <w:rPr>
          <w:rFonts w:ascii="Roboto" w:hAnsi="Roboto"/>
          <w:b/>
          <w:bCs/>
        </w:rPr>
      </w:pPr>
    </w:p>
    <w:p w14:paraId="0DA3DA35" w14:textId="77777777" w:rsidR="00F5246B" w:rsidRDefault="00F5246B" w:rsidP="004E75E9">
      <w:pPr>
        <w:spacing w:after="0"/>
        <w:jc w:val="right"/>
        <w:rPr>
          <w:rFonts w:ascii="Roboto" w:hAnsi="Roboto"/>
          <w:b/>
          <w:bCs/>
        </w:rPr>
      </w:pPr>
    </w:p>
    <w:p w14:paraId="6FEC670A" w14:textId="3F03BE2F" w:rsidR="004E75E9" w:rsidRPr="004E75E9" w:rsidRDefault="004E75E9" w:rsidP="004E75E9">
      <w:pPr>
        <w:spacing w:after="0"/>
        <w:jc w:val="right"/>
        <w:rPr>
          <w:rFonts w:ascii="Roboto" w:hAnsi="Roboto"/>
          <w:b/>
          <w:bCs/>
        </w:rPr>
      </w:pPr>
      <w:r w:rsidRPr="004E75E9">
        <w:rPr>
          <w:rFonts w:ascii="Roboto" w:hAnsi="Roboto"/>
          <w:b/>
          <w:bCs/>
        </w:rPr>
        <w:t>Ekonomikas ministrijai</w:t>
      </w:r>
    </w:p>
    <w:p w14:paraId="41634F31" w14:textId="70C81A27" w:rsidR="00C80B9B" w:rsidRDefault="00A5540D" w:rsidP="004E75E9">
      <w:pPr>
        <w:spacing w:after="0"/>
        <w:jc w:val="right"/>
        <w:rPr>
          <w:rFonts w:ascii="Roboto" w:hAnsi="Roboto"/>
          <w:b/>
          <w:bCs/>
        </w:rPr>
      </w:pPr>
      <w:hyperlink r:id="rId9" w:history="1">
        <w:r w:rsidR="004E75E9" w:rsidRPr="001070E0">
          <w:rPr>
            <w:rStyle w:val="Hyperlink"/>
            <w:rFonts w:ascii="Roboto" w:hAnsi="Roboto"/>
            <w:b/>
            <w:bCs/>
          </w:rPr>
          <w:t>pasts@em.gov.lv</w:t>
        </w:r>
      </w:hyperlink>
      <w:r w:rsidR="004E75E9">
        <w:rPr>
          <w:rFonts w:ascii="Roboto" w:hAnsi="Roboto"/>
          <w:b/>
          <w:bCs/>
        </w:rPr>
        <w:t xml:space="preserve"> </w:t>
      </w:r>
    </w:p>
    <w:p w14:paraId="47A03D1C" w14:textId="69552739" w:rsidR="006011B1" w:rsidRDefault="006011B1" w:rsidP="004E75E9">
      <w:pPr>
        <w:spacing w:after="0"/>
        <w:jc w:val="right"/>
        <w:rPr>
          <w:rFonts w:ascii="Roboto" w:hAnsi="Roboto"/>
          <w:b/>
          <w:bCs/>
        </w:rPr>
      </w:pPr>
    </w:p>
    <w:p w14:paraId="02CE9D90" w14:textId="77777777" w:rsidR="006011B1" w:rsidRDefault="006011B1" w:rsidP="004E75E9">
      <w:pPr>
        <w:spacing w:after="0"/>
        <w:jc w:val="right"/>
        <w:rPr>
          <w:rFonts w:ascii="Roboto" w:hAnsi="Roboto"/>
          <w:b/>
          <w:bCs/>
        </w:rPr>
      </w:pPr>
    </w:p>
    <w:p w14:paraId="033D5714" w14:textId="77777777" w:rsidR="004E75E9" w:rsidRPr="002660F1" w:rsidRDefault="004E75E9" w:rsidP="004E75E9">
      <w:pPr>
        <w:spacing w:after="0"/>
        <w:jc w:val="right"/>
        <w:rPr>
          <w:rFonts w:ascii="Roboto" w:hAnsi="Roboto"/>
        </w:rPr>
      </w:pPr>
    </w:p>
    <w:p w14:paraId="75863E1C" w14:textId="6A09BD66" w:rsidR="00C80B9B" w:rsidRPr="002660F1" w:rsidRDefault="004E75E9" w:rsidP="00C80B9B">
      <w:pPr>
        <w:spacing w:after="0"/>
        <w:rPr>
          <w:rFonts w:ascii="Roboto" w:hAnsi="Roboto"/>
        </w:rPr>
      </w:pPr>
      <w:r>
        <w:rPr>
          <w:rFonts w:ascii="Roboto" w:hAnsi="Roboto"/>
        </w:rPr>
        <w:t>Datums skatāms laika zīmogā</w:t>
      </w:r>
    </w:p>
    <w:p w14:paraId="3163FB66" w14:textId="66B781B4" w:rsidR="00C80B9B" w:rsidRPr="002660F1" w:rsidRDefault="00C80B9B" w:rsidP="00C80B9B">
      <w:pPr>
        <w:spacing w:after="0"/>
        <w:rPr>
          <w:rFonts w:ascii="Roboto" w:hAnsi="Roboto"/>
        </w:rPr>
      </w:pPr>
      <w:r w:rsidRPr="002660F1">
        <w:rPr>
          <w:rFonts w:ascii="Roboto" w:hAnsi="Roboto"/>
        </w:rPr>
        <w:t>Nr. 2021/</w:t>
      </w:r>
      <w:r w:rsidR="00505C8F">
        <w:rPr>
          <w:rFonts w:ascii="Roboto" w:hAnsi="Roboto"/>
        </w:rPr>
        <w:t>332</w:t>
      </w:r>
    </w:p>
    <w:p w14:paraId="73ABF936" w14:textId="00EEB35F" w:rsidR="00C80B9B" w:rsidRPr="002660F1" w:rsidRDefault="00C80B9B" w:rsidP="00C80B9B">
      <w:pPr>
        <w:spacing w:after="0"/>
        <w:rPr>
          <w:rFonts w:ascii="Roboto" w:hAnsi="Roboto"/>
        </w:rPr>
      </w:pPr>
    </w:p>
    <w:p w14:paraId="6063F2CA" w14:textId="77777777" w:rsidR="002660F1" w:rsidRPr="002660F1" w:rsidRDefault="002660F1" w:rsidP="00C80B9B">
      <w:pPr>
        <w:spacing w:after="0"/>
        <w:rPr>
          <w:rFonts w:ascii="Roboto" w:hAnsi="Roboto"/>
        </w:rPr>
      </w:pPr>
    </w:p>
    <w:p w14:paraId="54DF98DF" w14:textId="77777777" w:rsidR="004E75E9" w:rsidRPr="004E75E9" w:rsidRDefault="004E75E9" w:rsidP="004E75E9">
      <w:pPr>
        <w:spacing w:after="0"/>
        <w:rPr>
          <w:rFonts w:ascii="Roboto" w:hAnsi="Roboto"/>
          <w:b/>
          <w:bCs/>
        </w:rPr>
      </w:pPr>
      <w:r w:rsidRPr="004E75E9">
        <w:rPr>
          <w:rFonts w:ascii="Roboto" w:hAnsi="Roboto"/>
          <w:b/>
          <w:bCs/>
        </w:rPr>
        <w:t xml:space="preserve">Par likumprojektu "Grozījumi </w:t>
      </w:r>
    </w:p>
    <w:p w14:paraId="3CD88A92" w14:textId="61F6E184" w:rsidR="00C80B9B" w:rsidRDefault="004E75E9" w:rsidP="004E75E9">
      <w:pPr>
        <w:spacing w:after="0"/>
        <w:rPr>
          <w:rFonts w:ascii="Roboto" w:hAnsi="Roboto"/>
          <w:b/>
          <w:bCs/>
        </w:rPr>
      </w:pPr>
      <w:r w:rsidRPr="004E75E9">
        <w:rPr>
          <w:rFonts w:ascii="Roboto" w:hAnsi="Roboto"/>
          <w:b/>
          <w:bCs/>
        </w:rPr>
        <w:t>Konkurences likumā” (VSS-864)</w:t>
      </w:r>
    </w:p>
    <w:p w14:paraId="573682FB" w14:textId="77777777" w:rsidR="00F5246B" w:rsidRDefault="00F5246B" w:rsidP="004E75E9">
      <w:pPr>
        <w:spacing w:after="0"/>
        <w:rPr>
          <w:rFonts w:ascii="Roboto" w:hAnsi="Roboto"/>
          <w:b/>
          <w:bCs/>
        </w:rPr>
      </w:pPr>
    </w:p>
    <w:p w14:paraId="55249E3B" w14:textId="77777777" w:rsidR="004E75E9" w:rsidRPr="002660F1" w:rsidRDefault="004E75E9" w:rsidP="004E75E9">
      <w:pPr>
        <w:spacing w:after="0"/>
        <w:rPr>
          <w:rFonts w:ascii="Roboto" w:hAnsi="Roboto"/>
        </w:rPr>
      </w:pPr>
    </w:p>
    <w:p w14:paraId="70006B58" w14:textId="50A776FA" w:rsidR="006011B1" w:rsidRDefault="00C80B9B" w:rsidP="004E75E9">
      <w:pPr>
        <w:spacing w:after="40" w:line="276" w:lineRule="auto"/>
        <w:jc w:val="both"/>
        <w:rPr>
          <w:rFonts w:ascii="Roboto" w:hAnsi="Roboto"/>
        </w:rPr>
      </w:pPr>
      <w:r w:rsidRPr="002660F1">
        <w:rPr>
          <w:rFonts w:ascii="Roboto" w:hAnsi="Roboto"/>
        </w:rPr>
        <w:tab/>
      </w:r>
      <w:r w:rsidR="004E75E9" w:rsidRPr="004E75E9">
        <w:rPr>
          <w:rFonts w:ascii="Roboto" w:hAnsi="Roboto"/>
        </w:rPr>
        <w:t xml:space="preserve">Latvijas Tirdzniecības un rūpniecības kamera (turpmāk – LTRK) ir iepazinusies ar Ekonomikas ministrijas izstrādāto </w:t>
      </w:r>
      <w:r w:rsidR="00F101B5">
        <w:rPr>
          <w:rFonts w:ascii="Roboto" w:hAnsi="Roboto"/>
        </w:rPr>
        <w:t xml:space="preserve">precizēto </w:t>
      </w:r>
      <w:r w:rsidR="004E75E9" w:rsidRPr="004E75E9">
        <w:rPr>
          <w:rFonts w:ascii="Roboto" w:hAnsi="Roboto"/>
        </w:rPr>
        <w:t>likumprojektu “Grozījumi Konkurences likumā” (VSS-864) (turpmāk – Likumprojekts)</w:t>
      </w:r>
      <w:r w:rsidR="00F101B5">
        <w:rPr>
          <w:rFonts w:ascii="Roboto" w:hAnsi="Roboto"/>
        </w:rPr>
        <w:t xml:space="preserve">. LTRK ieskatā Konkurences padomes (turpmāk – KP) kapacitāte un resursi ir jāstiprina, tāpat ir jāveicina KP neatkarība, jo tādējādi tiktu veicināta </w:t>
      </w:r>
      <w:r w:rsidR="006011B1">
        <w:rPr>
          <w:rFonts w:ascii="Roboto" w:hAnsi="Roboto"/>
        </w:rPr>
        <w:t>godīgas konkurences un tautsaimniecības attīstība visās tās nozarēs. LTRK konceptuāli atbalsta likumprojektu, taču vienlaikus</w:t>
      </w:r>
      <w:r w:rsidR="004E75E9" w:rsidRPr="004E75E9">
        <w:rPr>
          <w:rFonts w:ascii="Roboto" w:hAnsi="Roboto"/>
        </w:rPr>
        <w:t xml:space="preserve"> </w:t>
      </w:r>
      <w:r w:rsidR="006011B1">
        <w:rPr>
          <w:rFonts w:ascii="Roboto" w:hAnsi="Roboto"/>
        </w:rPr>
        <w:t>vērš uzmanību uz vairākiem būtiskiem apsvērumiem</w:t>
      </w:r>
      <w:r w:rsidR="004E75E9" w:rsidRPr="004E75E9">
        <w:rPr>
          <w:rFonts w:ascii="Roboto" w:hAnsi="Roboto"/>
        </w:rPr>
        <w:t>:</w:t>
      </w:r>
    </w:p>
    <w:p w14:paraId="6B500526" w14:textId="6009B8B9" w:rsidR="002660F1" w:rsidRDefault="00C80B9B" w:rsidP="004E75E9">
      <w:pPr>
        <w:spacing w:after="40" w:line="276" w:lineRule="auto"/>
        <w:jc w:val="both"/>
        <w:rPr>
          <w:rFonts w:ascii="Roboto" w:hAnsi="Roboto"/>
        </w:rPr>
      </w:pPr>
      <w:r w:rsidRPr="002660F1">
        <w:rPr>
          <w:rFonts w:ascii="Roboto" w:hAnsi="Roboto"/>
        </w:rPr>
        <w:t xml:space="preserve"> </w:t>
      </w:r>
      <w:r w:rsidR="004E75E9" w:rsidRPr="004E75E9">
        <w:rPr>
          <w:rFonts w:ascii="Roboto" w:hAnsi="Roboto"/>
        </w:rPr>
        <w:t xml:space="preserve"> </w:t>
      </w:r>
    </w:p>
    <w:p w14:paraId="29C6013C" w14:textId="1C1AEC8F" w:rsidR="004E75E9" w:rsidRPr="004E75E9" w:rsidRDefault="004E75E9" w:rsidP="004E75E9">
      <w:pPr>
        <w:spacing w:after="40" w:line="276" w:lineRule="auto"/>
        <w:jc w:val="both"/>
        <w:rPr>
          <w:rFonts w:ascii="Roboto" w:hAnsi="Roboto"/>
        </w:rPr>
      </w:pPr>
      <w:r>
        <w:rPr>
          <w:rFonts w:ascii="Roboto" w:hAnsi="Roboto"/>
        </w:rPr>
        <w:tab/>
        <w:t>[</w:t>
      </w:r>
      <w:r w:rsidR="00822AD5">
        <w:rPr>
          <w:rFonts w:ascii="Roboto" w:hAnsi="Roboto"/>
        </w:rPr>
        <w:t>1</w:t>
      </w:r>
      <w:r>
        <w:rPr>
          <w:rFonts w:ascii="Roboto" w:hAnsi="Roboto"/>
        </w:rPr>
        <w:t xml:space="preserve">.] </w:t>
      </w:r>
      <w:r w:rsidRPr="004E75E9">
        <w:rPr>
          <w:rFonts w:ascii="Roboto" w:hAnsi="Roboto"/>
        </w:rPr>
        <w:t xml:space="preserve">LTRK atkārtoti norāda, ka Likumuprojekta 6.pantā ir jāiekļauj arī </w:t>
      </w:r>
      <w:r>
        <w:rPr>
          <w:rFonts w:ascii="Roboto" w:hAnsi="Roboto"/>
        </w:rPr>
        <w:t>sadarbības</w:t>
      </w:r>
      <w:r w:rsidRPr="004E75E9">
        <w:rPr>
          <w:rFonts w:ascii="Roboto" w:hAnsi="Roboto"/>
        </w:rPr>
        <w:t xml:space="preserve"> partneri. Minētais ļautu KP konsultatīvajā padomē piedalīties arī citām nozīmīgām nevalstiskajām organizācijām, tai skaitā lielākajai uzņēmēju organizācijai Latvijā – LTRK.   Tāpat nav pietiekami, ka tiek paredzēts, ka </w:t>
      </w:r>
      <w:r w:rsidR="00766309">
        <w:rPr>
          <w:rFonts w:ascii="Roboto" w:hAnsi="Roboto"/>
        </w:rPr>
        <w:t>sadarbības partneri</w:t>
      </w:r>
      <w:r w:rsidRPr="004E75E9">
        <w:rPr>
          <w:rFonts w:ascii="Roboto" w:hAnsi="Roboto"/>
        </w:rPr>
        <w:t xml:space="preserve"> Konsultatīvajā padomē tiek iekļauti tikai nepieciešamības gadījumā. LTRK ieskatā veiksmīgas valsts pārvaldes darbībai, jo sevišķi konkurences tiesību uzrauga darbībai, ļoti nozīmīga ir sadarbība tieši ar tirgus dalībnieku pārstāvjiem, jo Konkurences padomes darbības rezultāts tiešā veidā atspoguļojas uz tirgu, ne uz citu valsts iestāžu darbu. Līdz ar to Konsultatīvajā padomē ir svarīgi, lai tiktu vienmēr iekļautas dažādas tirgus dalībniekus un patērētājus pārstāvošas organizācijas. </w:t>
      </w:r>
    </w:p>
    <w:p w14:paraId="2C2A183B" w14:textId="77777777" w:rsidR="004E75E9" w:rsidRPr="004E75E9" w:rsidRDefault="004E75E9" w:rsidP="004E75E9">
      <w:pPr>
        <w:spacing w:after="40" w:line="276" w:lineRule="auto"/>
        <w:ind w:firstLine="720"/>
        <w:jc w:val="both"/>
        <w:rPr>
          <w:rFonts w:ascii="Roboto" w:hAnsi="Roboto"/>
        </w:rPr>
      </w:pPr>
      <w:r w:rsidRPr="004E75E9">
        <w:rPr>
          <w:rFonts w:ascii="Roboto" w:hAnsi="Roboto"/>
        </w:rPr>
        <w:t>Ņemot vērā minēto, LTRK aicina izteikt 6.</w:t>
      </w:r>
      <w:r w:rsidRPr="00766309">
        <w:rPr>
          <w:rFonts w:ascii="Roboto" w:hAnsi="Roboto"/>
          <w:vertAlign w:val="superscript"/>
        </w:rPr>
        <w:t>1</w:t>
      </w:r>
      <w:r w:rsidRPr="004E75E9">
        <w:rPr>
          <w:rFonts w:ascii="Roboto" w:hAnsi="Roboto"/>
        </w:rPr>
        <w:t xml:space="preserve"> panta pirmo daļu šādā redakcijā: </w:t>
      </w:r>
    </w:p>
    <w:p w14:paraId="5F9AD724" w14:textId="5B231384" w:rsidR="004E75E9" w:rsidRDefault="004E75E9" w:rsidP="00766309">
      <w:pPr>
        <w:spacing w:after="40" w:line="276" w:lineRule="auto"/>
        <w:ind w:firstLine="720"/>
        <w:jc w:val="both"/>
        <w:rPr>
          <w:rFonts w:ascii="Roboto" w:hAnsi="Roboto"/>
        </w:rPr>
      </w:pPr>
      <w:r w:rsidRPr="004E75E9">
        <w:rPr>
          <w:rFonts w:ascii="Roboto" w:hAnsi="Roboto"/>
        </w:rPr>
        <w:t>“Konkurences padome izveido konsultatīvo padomi, kurā iekļauj pārstāvjus no sociālo un sadarbības partneru, patērētāju, sabiedrisko pakalpojumu sniedzēju un pašvaldību intereses pārstāvošām biedrībām un nodibinājumiem, kā arī citas personas un valsts iestādes.”</w:t>
      </w:r>
    </w:p>
    <w:p w14:paraId="6BB0953A" w14:textId="77777777" w:rsidR="006011B1" w:rsidRDefault="006011B1" w:rsidP="00766309">
      <w:pPr>
        <w:spacing w:after="40" w:line="276" w:lineRule="auto"/>
        <w:ind w:firstLine="720"/>
        <w:jc w:val="both"/>
        <w:rPr>
          <w:rFonts w:ascii="Roboto" w:hAnsi="Roboto"/>
        </w:rPr>
      </w:pPr>
    </w:p>
    <w:p w14:paraId="7CD19A78" w14:textId="11013FA5" w:rsidR="004E75E9" w:rsidRPr="004E75E9" w:rsidRDefault="004E75E9" w:rsidP="004E75E9">
      <w:pPr>
        <w:spacing w:after="40" w:line="276" w:lineRule="auto"/>
        <w:jc w:val="both"/>
        <w:rPr>
          <w:rFonts w:ascii="Roboto" w:hAnsi="Roboto"/>
        </w:rPr>
      </w:pPr>
      <w:r>
        <w:rPr>
          <w:rFonts w:ascii="Roboto" w:hAnsi="Roboto"/>
        </w:rPr>
        <w:tab/>
      </w:r>
      <w:r w:rsidRPr="004E75E9">
        <w:rPr>
          <w:rFonts w:ascii="Roboto" w:hAnsi="Roboto"/>
        </w:rPr>
        <w:t>[</w:t>
      </w:r>
      <w:r w:rsidR="00822AD5">
        <w:rPr>
          <w:rFonts w:ascii="Roboto" w:hAnsi="Roboto"/>
        </w:rPr>
        <w:t>2</w:t>
      </w:r>
      <w:r w:rsidRPr="004E75E9">
        <w:rPr>
          <w:rFonts w:ascii="Roboto" w:hAnsi="Roboto"/>
        </w:rPr>
        <w:t xml:space="preserve">.] LTRK ieskatā nepieciešams izslēgt Likumprojekta 10. pantu, kas paredz svītrot likuma 9. panta piektās daļas 4.punkta f) apakšpunktā vārdus “no tirgus dalībnieka darbiniekiem”,  jo  tas rada tiesisko nenoteiktību par to, kādam personu lokam KP amatpersonas, kratīšanai pielīdzināmu darbību laikā,  ir tiesīgas prasīt paskaidrojumus. Regulā 1/2003 par to konkurences noteikumu īstenošanu, kas noteikti Līguma 81. un 82. pantā, kurā noteiktas amatpersonu pilnvaras inspekciju laikā, norādīts, ka tās ir tiesīgas: “prasīt jebkuram uzņēmuma vai uzņēmumu apvienības darbiniekam vai pārstāvim paskaidrojumus par faktiem vai dokumentiem, kas attiecas uz pārbaudes priekšmetu un mērķi, un fiksēt atbildes.“ Arī Direktīvas 6.panta pirmās daļas e) punktā konkrēti norādīti „uzņēmuma vai uzņēmumu apvienības darbinieki vai pārstāvji“. Likumprojekta redakcijā, tirgus dalībnieka inspekcijas laikā, KP var prasīt paskaidrojumus jebkurai personai, pat tādai personai, kas nav saistīta ar pārbaudei pakļauto </w:t>
      </w:r>
      <w:r w:rsidRPr="004E75E9">
        <w:rPr>
          <w:rFonts w:ascii="Roboto" w:hAnsi="Roboto"/>
        </w:rPr>
        <w:lastRenderedPageBreak/>
        <w:t xml:space="preserve">uzņēmumu, piemēram, uzņēmuma nejaušam apmeklētājam. Tik plašs formulējums nepamatoti paplašina iestādes pilnvaras, rada tiesisko nenoteiktību un ir pretrunā analoģiskām ES tiesību normām. </w:t>
      </w:r>
    </w:p>
    <w:p w14:paraId="66B772EC" w14:textId="7059CFF2" w:rsidR="004E75E9" w:rsidRDefault="004E75E9" w:rsidP="004E75E9">
      <w:pPr>
        <w:spacing w:after="40" w:line="276" w:lineRule="auto"/>
        <w:ind w:firstLine="720"/>
        <w:jc w:val="both"/>
        <w:rPr>
          <w:rFonts w:ascii="Roboto" w:hAnsi="Roboto"/>
        </w:rPr>
      </w:pPr>
      <w:r w:rsidRPr="004E75E9">
        <w:rPr>
          <w:rFonts w:ascii="Roboto" w:hAnsi="Roboto"/>
        </w:rPr>
        <w:t>Attiecībā par izziņā sniegto skaidrojumu, LTRK ieskatā gan Direktīvas preambulas 36.punkts, gan Direktīvas 9.pants attiecināms izsaukšanai uz iztaujāšanu. No minētā noprotams, ka konkurences iestāde 1) izjautāšanu neveic uzņēmuma telpās, 2) ir objektīvs pamatojums, lai persona tiktu aicināta uz šādu izjautāšanu. Savukārt Direktīvas 7.pants, tāpat kā likuma 9.panta piektā daļa, attiecināma uz objekta vai telpu inspicēšanu, pārmeklēšanu un apskati.</w:t>
      </w:r>
    </w:p>
    <w:p w14:paraId="408B7D1C" w14:textId="77777777" w:rsidR="006011B1" w:rsidRDefault="006011B1" w:rsidP="004E75E9">
      <w:pPr>
        <w:spacing w:after="40" w:line="276" w:lineRule="auto"/>
        <w:ind w:firstLine="720"/>
        <w:jc w:val="both"/>
        <w:rPr>
          <w:rFonts w:ascii="Roboto" w:hAnsi="Roboto"/>
        </w:rPr>
      </w:pPr>
    </w:p>
    <w:p w14:paraId="3F9CDE93" w14:textId="4FD082F8" w:rsidR="004E75E9" w:rsidRPr="004E75E9" w:rsidRDefault="004E75E9" w:rsidP="004E75E9">
      <w:pPr>
        <w:spacing w:after="40" w:line="276" w:lineRule="auto"/>
        <w:ind w:firstLine="720"/>
        <w:jc w:val="both"/>
        <w:rPr>
          <w:rFonts w:ascii="Roboto" w:hAnsi="Roboto"/>
          <w:bCs/>
          <w:color w:val="000000" w:themeColor="text1"/>
          <w:lang w:eastAsia="lv-LV"/>
        </w:rPr>
      </w:pPr>
      <w:r w:rsidRPr="004E75E9">
        <w:rPr>
          <w:rFonts w:ascii="Roboto" w:hAnsi="Roboto"/>
          <w:bCs/>
          <w:color w:val="000000" w:themeColor="text1"/>
          <w:lang w:eastAsia="lv-LV"/>
        </w:rPr>
        <w:t>[</w:t>
      </w:r>
      <w:r w:rsidR="00822AD5">
        <w:rPr>
          <w:rFonts w:ascii="Roboto" w:hAnsi="Roboto"/>
          <w:bCs/>
          <w:color w:val="000000" w:themeColor="text1"/>
          <w:lang w:eastAsia="lv-LV"/>
        </w:rPr>
        <w:t>3</w:t>
      </w:r>
      <w:r w:rsidRPr="004E75E9">
        <w:rPr>
          <w:rFonts w:ascii="Roboto" w:hAnsi="Roboto"/>
          <w:bCs/>
          <w:color w:val="000000" w:themeColor="text1"/>
          <w:lang w:eastAsia="lv-LV"/>
        </w:rPr>
        <w:t xml:space="preserve">.] Likumprojekts paredz palielināt maksimālā naudas soda apmēru līdz 10% no tirgus dalībnieka vai tirgus dalībnieku apvienības pēdējā finanšu gada neto apgrozījuma pasaulē. Tā kā Direktīva neprasa palielināt naudas sodu arī nacionālo konkurences tiesību pārkāpumu gadījumā jeb par konkurences tiesību pārkāpumu Latvijā, LTRK ieskatā Likumprojektu nepieciešams precizēt. Proti,  jāveic izmaiņas, naudas sodu apmēru par LESD 101. un 102.panta pārkāpumu izdalot atsevišķi Konkurences likuma VII nodaļā “Eiropas Savienības konkurences tiesību piemērošana”, un no Likumprojekta izslēdzot 13. un 15.pantu, attiecīgi precizējot arī saistītās likuma normas. </w:t>
      </w:r>
    </w:p>
    <w:p w14:paraId="001386A5" w14:textId="424B814D" w:rsidR="004E75E9" w:rsidRDefault="004E75E9" w:rsidP="004E75E9">
      <w:pPr>
        <w:spacing w:after="40" w:line="276" w:lineRule="auto"/>
        <w:ind w:firstLine="720"/>
        <w:jc w:val="both"/>
        <w:rPr>
          <w:rFonts w:ascii="Roboto" w:hAnsi="Roboto"/>
          <w:bCs/>
          <w:color w:val="000000" w:themeColor="text1"/>
          <w:lang w:eastAsia="lv-LV"/>
        </w:rPr>
      </w:pPr>
      <w:r w:rsidRPr="004E75E9">
        <w:rPr>
          <w:rFonts w:ascii="Roboto" w:hAnsi="Roboto"/>
          <w:bCs/>
          <w:color w:val="000000" w:themeColor="text1"/>
          <w:lang w:eastAsia="lv-LV"/>
        </w:rPr>
        <w:t>Papildus minētajam, tiesiskais regulējums jau šobrīd paredz, ka KP ir tiesīga uzlikt sodu līdz 5% apmēram no tirgus dalībnieka/ konkurenta pēdējā finanšu gada neto apgrozījuma, kas jau ir gana iespaidīgs soda apmērs un neapšaubāmi attur tirgus dalībniekus no konkurences tiesību pārkāpumu izdarīšanas, kā arī sasniedz Likumā noteikto mērķi. Tāpēc LTRK uzskata, ka nav skaidra nepieciešamība palielināt esošo naudas sodu potenciālo apmēru un par aprēķina pamatu izmantojot tieši neto apgrozījumu pasaulē, jo īpaši šobrīd, kad liela daļa komersanti izjūt negatīvu  Covid-19 ietekmi uz savu komercdarbību un pašlaik nav prognozējams, kad tirgus situācija visvairāk Covid-19 seku ietekmētajos tirgos uzlabosies.</w:t>
      </w:r>
    </w:p>
    <w:p w14:paraId="65AC308D" w14:textId="77777777" w:rsidR="006011B1" w:rsidRPr="004E75E9" w:rsidRDefault="006011B1" w:rsidP="004E75E9">
      <w:pPr>
        <w:spacing w:after="40" w:line="276" w:lineRule="auto"/>
        <w:ind w:firstLine="720"/>
        <w:jc w:val="both"/>
        <w:rPr>
          <w:rFonts w:ascii="Roboto" w:hAnsi="Roboto"/>
          <w:bCs/>
          <w:color w:val="000000" w:themeColor="text1"/>
          <w:lang w:eastAsia="lv-LV"/>
        </w:rPr>
      </w:pPr>
    </w:p>
    <w:p w14:paraId="1B8C9D65" w14:textId="19CF794D" w:rsidR="004E75E9" w:rsidRDefault="004E75E9" w:rsidP="00393A5B">
      <w:pPr>
        <w:spacing w:after="40" w:line="276" w:lineRule="auto"/>
        <w:ind w:firstLine="720"/>
        <w:jc w:val="both"/>
        <w:rPr>
          <w:rFonts w:ascii="Roboto" w:hAnsi="Roboto"/>
          <w:bCs/>
          <w:color w:val="000000" w:themeColor="text1"/>
          <w:lang w:eastAsia="lv-LV"/>
        </w:rPr>
      </w:pPr>
      <w:r w:rsidRPr="004E75E9">
        <w:rPr>
          <w:rFonts w:ascii="Roboto" w:hAnsi="Roboto"/>
          <w:bCs/>
          <w:color w:val="000000" w:themeColor="text1"/>
          <w:lang w:eastAsia="lv-LV"/>
        </w:rPr>
        <w:t>[</w:t>
      </w:r>
      <w:r w:rsidR="00822AD5">
        <w:rPr>
          <w:rFonts w:ascii="Roboto" w:hAnsi="Roboto"/>
          <w:bCs/>
          <w:color w:val="000000" w:themeColor="text1"/>
          <w:lang w:eastAsia="lv-LV"/>
        </w:rPr>
        <w:t>4</w:t>
      </w:r>
      <w:r w:rsidRPr="004E75E9">
        <w:rPr>
          <w:rFonts w:ascii="Roboto" w:hAnsi="Roboto"/>
          <w:bCs/>
          <w:color w:val="000000" w:themeColor="text1"/>
          <w:lang w:eastAsia="lv-LV"/>
        </w:rPr>
        <w:t>.] Likumprojekts paredz izmaiņas arī likuma normās par pagaidu noregulējuma piemērošanu, taču</w:t>
      </w:r>
      <w:r w:rsidR="00393A5B">
        <w:rPr>
          <w:rFonts w:ascii="Roboto" w:hAnsi="Roboto"/>
          <w:bCs/>
          <w:color w:val="000000" w:themeColor="text1"/>
          <w:lang w:eastAsia="lv-LV"/>
        </w:rPr>
        <w:t>,</w:t>
      </w:r>
      <w:r w:rsidRPr="004E75E9">
        <w:rPr>
          <w:rFonts w:ascii="Roboto" w:hAnsi="Roboto"/>
          <w:bCs/>
          <w:color w:val="000000" w:themeColor="text1"/>
          <w:lang w:eastAsia="lv-LV"/>
        </w:rPr>
        <w:t xml:space="preserve"> </w:t>
      </w:r>
      <w:r w:rsidR="00393A5B">
        <w:rPr>
          <w:rFonts w:ascii="Roboto" w:hAnsi="Roboto"/>
          <w:bCs/>
          <w:color w:val="000000" w:themeColor="text1"/>
          <w:lang w:eastAsia="lv-LV"/>
        </w:rPr>
        <w:t>i</w:t>
      </w:r>
      <w:r w:rsidR="00393A5B" w:rsidRPr="00393A5B">
        <w:rPr>
          <w:rFonts w:ascii="Roboto" w:hAnsi="Roboto"/>
          <w:bCs/>
          <w:color w:val="000000" w:themeColor="text1"/>
          <w:lang w:eastAsia="lv-LV"/>
        </w:rPr>
        <w:t>zskatot Direktīvu un likumprojektu, kā arī Konkurences likuma esošo redakciju</w:t>
      </w:r>
      <w:r w:rsidR="00393A5B">
        <w:rPr>
          <w:rFonts w:ascii="Roboto" w:hAnsi="Roboto"/>
          <w:bCs/>
          <w:color w:val="000000" w:themeColor="text1"/>
          <w:lang w:eastAsia="lv-LV"/>
        </w:rPr>
        <w:t>, LTRK secina, ka normatīvais regulējums š</w:t>
      </w:r>
      <w:r w:rsidR="00393A5B" w:rsidRPr="00393A5B">
        <w:rPr>
          <w:rFonts w:ascii="Roboto" w:hAnsi="Roboto"/>
          <w:bCs/>
          <w:color w:val="000000" w:themeColor="text1"/>
          <w:lang w:eastAsia="lv-LV"/>
        </w:rPr>
        <w:t>obrīd paredz ievērojami zemāku pagaidu noregulējuma piemērošanas standartu, nekā to nosaka Direktīvas 11. pants.</w:t>
      </w:r>
      <w:r w:rsidRPr="004E75E9">
        <w:rPr>
          <w:rFonts w:ascii="Roboto" w:hAnsi="Roboto"/>
          <w:bCs/>
          <w:color w:val="000000" w:themeColor="text1"/>
          <w:lang w:eastAsia="lv-LV"/>
        </w:rPr>
        <w:t xml:space="preserve"> Proti, Direktīvā noteikts, ka pagaidu noregulējums var tikt piemērots LESD 101. vai 102. panta pārkāpuma </w:t>
      </w:r>
      <w:r w:rsidRPr="00393A5B">
        <w:rPr>
          <w:rFonts w:ascii="Roboto" w:hAnsi="Roboto"/>
          <w:bCs/>
          <w:i/>
          <w:iCs/>
          <w:color w:val="000000" w:themeColor="text1"/>
          <w:lang w:eastAsia="lv-LV"/>
        </w:rPr>
        <w:t>prima facie</w:t>
      </w:r>
      <w:r w:rsidRPr="004E75E9">
        <w:rPr>
          <w:rFonts w:ascii="Roboto" w:hAnsi="Roboto"/>
          <w:bCs/>
          <w:color w:val="000000" w:themeColor="text1"/>
          <w:lang w:eastAsia="lv-LV"/>
        </w:rPr>
        <w:t xml:space="preserve"> konstatējuma gadījumā, savukārt Konkurences likuma 30. panta pirmā daļa paredz, ka pagaidu noregulējums piemērojams, ja Konkurences padomes rīcībā ir pierādījumi, kas liecina par šādu pārkāpumu. </w:t>
      </w:r>
      <w:r w:rsidR="00393A5B" w:rsidRPr="00393A5B">
        <w:rPr>
          <w:rFonts w:ascii="Roboto" w:hAnsi="Roboto"/>
          <w:bCs/>
          <w:color w:val="000000" w:themeColor="text1"/>
          <w:lang w:eastAsia="lv-LV"/>
        </w:rPr>
        <w:t>Tā kā pastāv daudz tādu gadījumu, kad KP saņemtā informācija liecina par konkurences tiesību pārkāpumu, bet pārkāpums konstatēts netiek arī pēc divu gadu izmeklēšanas, standarts, kas prasa vienīgi pierādījumu par konkurences tiesību pārkāpuma esamību, ir uzskatāms par nesamērīgu.</w:t>
      </w:r>
      <w:r w:rsidR="00393A5B">
        <w:rPr>
          <w:rFonts w:ascii="Roboto" w:hAnsi="Roboto"/>
          <w:bCs/>
          <w:color w:val="000000" w:themeColor="text1"/>
          <w:lang w:eastAsia="lv-LV"/>
        </w:rPr>
        <w:tab/>
      </w:r>
      <w:r w:rsidRPr="004E75E9">
        <w:rPr>
          <w:rFonts w:ascii="Roboto" w:hAnsi="Roboto"/>
          <w:bCs/>
          <w:color w:val="000000" w:themeColor="text1"/>
          <w:lang w:eastAsia="lv-LV"/>
        </w:rPr>
        <w:t>Ņemot vērā minēto, LTRK ieskatā Likumprojektu nepieciešams papildināt ar nosacījumu, ka KP var piemērot pagaidu noregulējumu par LESD 101. vai 102.panta pārkāpumu tikai tad, ja tā pirmšķietami konstatē šādu pārkāpumu un ja gadījums prasa steidzamu pagaidu noregulējuma piemērošanu, lai novērstu risku nodarīt būtisku un neatgriezenisku kaitējumu konkurencei.</w:t>
      </w:r>
    </w:p>
    <w:p w14:paraId="476D3DEA" w14:textId="77777777" w:rsidR="006011B1" w:rsidRDefault="006011B1" w:rsidP="00393A5B">
      <w:pPr>
        <w:spacing w:after="40" w:line="276" w:lineRule="auto"/>
        <w:ind w:firstLine="720"/>
        <w:jc w:val="both"/>
        <w:rPr>
          <w:rFonts w:ascii="Roboto" w:hAnsi="Roboto"/>
          <w:bCs/>
          <w:color w:val="000000" w:themeColor="text1"/>
          <w:lang w:eastAsia="lv-LV"/>
        </w:rPr>
      </w:pPr>
    </w:p>
    <w:p w14:paraId="049BC922" w14:textId="76A1F56F" w:rsidR="00B46954" w:rsidRPr="00B46954" w:rsidRDefault="00B46954" w:rsidP="00B46954">
      <w:pPr>
        <w:spacing w:after="40" w:line="276" w:lineRule="auto"/>
        <w:ind w:firstLine="720"/>
        <w:jc w:val="both"/>
        <w:rPr>
          <w:rFonts w:ascii="Roboto" w:hAnsi="Roboto"/>
          <w:bCs/>
          <w:color w:val="000000" w:themeColor="text1"/>
          <w:lang w:eastAsia="lv-LV"/>
        </w:rPr>
      </w:pPr>
      <w:r>
        <w:rPr>
          <w:rFonts w:ascii="Roboto" w:hAnsi="Roboto"/>
          <w:bCs/>
          <w:color w:val="000000" w:themeColor="text1"/>
          <w:lang w:eastAsia="lv-LV"/>
        </w:rPr>
        <w:t>[</w:t>
      </w:r>
      <w:r w:rsidR="00822AD5">
        <w:rPr>
          <w:rFonts w:ascii="Roboto" w:hAnsi="Roboto"/>
          <w:bCs/>
          <w:color w:val="000000" w:themeColor="text1"/>
          <w:lang w:eastAsia="lv-LV"/>
        </w:rPr>
        <w:t>5</w:t>
      </w:r>
      <w:r>
        <w:rPr>
          <w:rFonts w:ascii="Roboto" w:hAnsi="Roboto"/>
          <w:bCs/>
          <w:color w:val="000000" w:themeColor="text1"/>
          <w:lang w:eastAsia="lv-LV"/>
        </w:rPr>
        <w:t xml:space="preserve">.] </w:t>
      </w:r>
      <w:r w:rsidRPr="00B46954">
        <w:rPr>
          <w:rFonts w:ascii="Roboto" w:hAnsi="Roboto"/>
          <w:bCs/>
          <w:color w:val="000000" w:themeColor="text1"/>
          <w:lang w:eastAsia="lv-LV"/>
        </w:rPr>
        <w:t xml:space="preserve">Likumprojekta 19. pants paredz, ka lūgums par pagaidu aizsardzību par pagaidu noregulējumu nav pieļaujams. Direktīva nekādā veidā neparedz šāda ierobežojuma nepieciešamību. Vienlaikus, skatot paredzēto ierobežojumu kopsakarā ar ļoti zemo jau šobrīd Konkurences likumā noteikto standartu pagaidu noregulējuma piemērošanai, </w:t>
      </w:r>
      <w:r w:rsidR="00393A5B">
        <w:rPr>
          <w:rFonts w:ascii="Roboto" w:hAnsi="Roboto"/>
          <w:bCs/>
          <w:color w:val="000000" w:themeColor="text1"/>
          <w:lang w:eastAsia="lv-LV"/>
        </w:rPr>
        <w:t>LTRK</w:t>
      </w:r>
      <w:r w:rsidRPr="00B46954">
        <w:rPr>
          <w:rFonts w:ascii="Roboto" w:hAnsi="Roboto"/>
          <w:bCs/>
          <w:color w:val="000000" w:themeColor="text1"/>
          <w:lang w:eastAsia="lv-LV"/>
        </w:rPr>
        <w:t xml:space="preserve"> ieskatā šāds ierobežojums nav pamatots. Turklāt ir jāņem vērā, ka var pastāvēt situācijas, kad arī vienai dienai, kad piemērots pagaidu noregulējums, var būt būtiska un neatgriezeniska ietekme uz tirgu, turklāt var izrādīties, ka šāds pagaidu noregulējums nebija nepieciešams, jo pārkāpums nemaz nav konstatējams.</w:t>
      </w:r>
    </w:p>
    <w:p w14:paraId="4350A8F2" w14:textId="3804E369" w:rsidR="002660F1" w:rsidRDefault="00B46954" w:rsidP="00822AD5">
      <w:pPr>
        <w:spacing w:after="40" w:line="276" w:lineRule="auto"/>
        <w:ind w:firstLine="720"/>
        <w:jc w:val="both"/>
        <w:rPr>
          <w:rFonts w:ascii="Roboto" w:hAnsi="Roboto"/>
          <w:bCs/>
          <w:color w:val="000000" w:themeColor="text1"/>
          <w:lang w:eastAsia="lv-LV"/>
        </w:rPr>
      </w:pPr>
      <w:r>
        <w:rPr>
          <w:rFonts w:ascii="Roboto" w:hAnsi="Roboto"/>
          <w:bCs/>
          <w:color w:val="000000" w:themeColor="text1"/>
          <w:lang w:eastAsia="lv-LV"/>
        </w:rPr>
        <w:t>LTRK aicina i</w:t>
      </w:r>
      <w:r w:rsidRPr="00B46954">
        <w:rPr>
          <w:rFonts w:ascii="Roboto" w:hAnsi="Roboto"/>
          <w:bCs/>
          <w:color w:val="000000" w:themeColor="text1"/>
          <w:lang w:eastAsia="lv-LV"/>
        </w:rPr>
        <w:t xml:space="preserve">zslēgt no Likumprojekta </w:t>
      </w:r>
      <w:r w:rsidR="00393A5B">
        <w:rPr>
          <w:rFonts w:ascii="Roboto" w:hAnsi="Roboto"/>
          <w:bCs/>
          <w:color w:val="000000" w:themeColor="text1"/>
          <w:lang w:eastAsia="lv-LV"/>
        </w:rPr>
        <w:t>19</w:t>
      </w:r>
      <w:r w:rsidRPr="00B46954">
        <w:rPr>
          <w:rFonts w:ascii="Roboto" w:hAnsi="Roboto"/>
          <w:bCs/>
          <w:color w:val="000000" w:themeColor="text1"/>
          <w:lang w:eastAsia="lv-LV"/>
        </w:rPr>
        <w:t xml:space="preserve">. panta otro daļu, ar kuru paredzēts papildināt </w:t>
      </w:r>
      <w:r w:rsidR="00167399">
        <w:rPr>
          <w:rFonts w:ascii="Roboto" w:hAnsi="Roboto"/>
          <w:bCs/>
          <w:color w:val="000000" w:themeColor="text1"/>
          <w:lang w:eastAsia="lv-LV"/>
        </w:rPr>
        <w:t>likuma</w:t>
      </w:r>
      <w:r w:rsidRPr="00B46954">
        <w:rPr>
          <w:rFonts w:ascii="Roboto" w:hAnsi="Roboto"/>
          <w:bCs/>
          <w:color w:val="000000" w:themeColor="text1"/>
          <w:lang w:eastAsia="lv-LV"/>
        </w:rPr>
        <w:t xml:space="preserve"> 31. panta otro daļu ar otro teikumu.</w:t>
      </w:r>
    </w:p>
    <w:p w14:paraId="2E950498" w14:textId="77777777" w:rsidR="006011B1" w:rsidRDefault="006011B1" w:rsidP="00822AD5">
      <w:pPr>
        <w:spacing w:after="40" w:line="276" w:lineRule="auto"/>
        <w:ind w:firstLine="720"/>
        <w:jc w:val="both"/>
        <w:rPr>
          <w:rFonts w:ascii="Roboto" w:hAnsi="Roboto"/>
          <w:bCs/>
          <w:color w:val="000000" w:themeColor="text1"/>
          <w:lang w:eastAsia="lv-LV"/>
        </w:rPr>
      </w:pPr>
    </w:p>
    <w:p w14:paraId="3F5A9D53" w14:textId="77777777" w:rsidR="00393A5B" w:rsidRPr="002660F1" w:rsidRDefault="00393A5B" w:rsidP="00393A5B">
      <w:pPr>
        <w:spacing w:after="0" w:line="276" w:lineRule="auto"/>
        <w:jc w:val="both"/>
        <w:rPr>
          <w:rFonts w:ascii="Roboto" w:hAnsi="Roboto"/>
          <w:bCs/>
          <w:color w:val="000000" w:themeColor="text1"/>
          <w:lang w:eastAsia="lv-LV"/>
        </w:rPr>
      </w:pPr>
    </w:p>
    <w:p w14:paraId="086E22E9" w14:textId="77777777" w:rsidR="002660F1" w:rsidRPr="002660F1" w:rsidRDefault="002660F1" w:rsidP="002660F1">
      <w:pPr>
        <w:spacing w:after="0" w:line="276" w:lineRule="auto"/>
        <w:rPr>
          <w:rFonts w:ascii="Roboto" w:hAnsi="Roboto"/>
          <w:bCs/>
          <w:color w:val="000000" w:themeColor="text1"/>
          <w:lang w:eastAsia="lv-LV"/>
        </w:rPr>
      </w:pPr>
      <w:r w:rsidRPr="002660F1">
        <w:rPr>
          <w:rFonts w:ascii="Roboto" w:hAnsi="Roboto"/>
          <w:bCs/>
          <w:color w:val="000000" w:themeColor="text1"/>
          <w:lang w:eastAsia="lv-LV"/>
        </w:rPr>
        <w:t>Ar cieņu,</w:t>
      </w:r>
      <w:r w:rsidRPr="002660F1">
        <w:rPr>
          <w:rFonts w:ascii="Roboto" w:hAnsi="Roboto"/>
          <w:bCs/>
          <w:color w:val="000000" w:themeColor="text1"/>
          <w:lang w:eastAsia="lv-LV"/>
        </w:rPr>
        <w:tab/>
      </w:r>
    </w:p>
    <w:p w14:paraId="57BAF690" w14:textId="55DA927D" w:rsidR="002660F1" w:rsidRPr="004E75E9" w:rsidRDefault="002660F1" w:rsidP="004E75E9">
      <w:pPr>
        <w:tabs>
          <w:tab w:val="left" w:pos="8505"/>
        </w:tabs>
        <w:spacing w:after="0" w:line="276" w:lineRule="auto"/>
        <w:rPr>
          <w:rFonts w:ascii="Roboto" w:hAnsi="Roboto"/>
          <w:bCs/>
          <w:color w:val="000000" w:themeColor="text1"/>
          <w:lang w:eastAsia="lv-LV"/>
        </w:rPr>
      </w:pPr>
      <w:r w:rsidRPr="002660F1">
        <w:rPr>
          <w:rFonts w:ascii="Roboto" w:hAnsi="Roboto"/>
          <w:bCs/>
          <w:color w:val="000000" w:themeColor="text1"/>
          <w:lang w:eastAsia="lv-LV"/>
        </w:rPr>
        <w:t xml:space="preserve">Valdes priekšsēdētājs </w:t>
      </w:r>
      <w:r w:rsidRPr="002660F1">
        <w:rPr>
          <w:rFonts w:ascii="Roboto" w:hAnsi="Roboto"/>
          <w:bCs/>
          <w:color w:val="000000" w:themeColor="text1"/>
          <w:lang w:eastAsia="lv-LV"/>
        </w:rPr>
        <w:tab/>
        <w:t>Jānis Endziņš</w:t>
      </w:r>
    </w:p>
    <w:p w14:paraId="7CB96C73" w14:textId="70826A91" w:rsidR="00393A5B" w:rsidRDefault="00393A5B" w:rsidP="00822AD5">
      <w:pPr>
        <w:spacing w:after="0" w:line="276" w:lineRule="auto"/>
        <w:rPr>
          <w:rFonts w:ascii="Roboto" w:hAnsi="Roboto"/>
          <w:b/>
          <w:color w:val="000000" w:themeColor="text1"/>
          <w:lang w:eastAsia="lv-LV"/>
        </w:rPr>
      </w:pPr>
    </w:p>
    <w:p w14:paraId="563F2101" w14:textId="4B7F4759" w:rsidR="00393A5B" w:rsidRDefault="00393A5B" w:rsidP="002660F1">
      <w:pPr>
        <w:spacing w:after="0" w:line="276" w:lineRule="auto"/>
        <w:jc w:val="center"/>
        <w:rPr>
          <w:rFonts w:ascii="Roboto" w:hAnsi="Roboto"/>
          <w:b/>
          <w:color w:val="000000" w:themeColor="text1"/>
          <w:lang w:eastAsia="lv-LV"/>
        </w:rPr>
      </w:pPr>
    </w:p>
    <w:p w14:paraId="6CE0F75A" w14:textId="0D7E1642" w:rsidR="006011B1" w:rsidRDefault="006011B1" w:rsidP="002660F1">
      <w:pPr>
        <w:spacing w:after="0" w:line="276" w:lineRule="auto"/>
        <w:jc w:val="center"/>
        <w:rPr>
          <w:rFonts w:ascii="Roboto" w:hAnsi="Roboto"/>
          <w:b/>
          <w:color w:val="000000" w:themeColor="text1"/>
          <w:lang w:eastAsia="lv-LV"/>
        </w:rPr>
      </w:pPr>
    </w:p>
    <w:p w14:paraId="39289E72" w14:textId="6653454B" w:rsidR="006011B1" w:rsidRDefault="006011B1" w:rsidP="002660F1">
      <w:pPr>
        <w:spacing w:after="0" w:line="276" w:lineRule="auto"/>
        <w:jc w:val="center"/>
        <w:rPr>
          <w:rFonts w:ascii="Roboto" w:hAnsi="Roboto"/>
          <w:b/>
          <w:color w:val="000000" w:themeColor="text1"/>
          <w:lang w:eastAsia="lv-LV"/>
        </w:rPr>
      </w:pPr>
    </w:p>
    <w:p w14:paraId="23962BD5" w14:textId="531C5F32" w:rsidR="006011B1" w:rsidRDefault="006011B1" w:rsidP="002660F1">
      <w:pPr>
        <w:spacing w:after="0" w:line="276" w:lineRule="auto"/>
        <w:jc w:val="center"/>
        <w:rPr>
          <w:rFonts w:ascii="Roboto" w:hAnsi="Roboto"/>
          <w:b/>
          <w:color w:val="000000" w:themeColor="text1"/>
          <w:lang w:eastAsia="lv-LV"/>
        </w:rPr>
      </w:pPr>
    </w:p>
    <w:p w14:paraId="027CF2AF" w14:textId="0E76DE2C" w:rsidR="006011B1" w:rsidRDefault="006011B1" w:rsidP="002660F1">
      <w:pPr>
        <w:spacing w:after="0" w:line="276" w:lineRule="auto"/>
        <w:jc w:val="center"/>
        <w:rPr>
          <w:rFonts w:ascii="Roboto" w:hAnsi="Roboto"/>
          <w:b/>
          <w:color w:val="000000" w:themeColor="text1"/>
          <w:lang w:eastAsia="lv-LV"/>
        </w:rPr>
      </w:pPr>
    </w:p>
    <w:p w14:paraId="0135F31D" w14:textId="0DBC61B3" w:rsidR="006011B1" w:rsidRDefault="006011B1" w:rsidP="002660F1">
      <w:pPr>
        <w:spacing w:after="0" w:line="276" w:lineRule="auto"/>
        <w:jc w:val="center"/>
        <w:rPr>
          <w:rFonts w:ascii="Roboto" w:hAnsi="Roboto"/>
          <w:b/>
          <w:color w:val="000000" w:themeColor="text1"/>
          <w:lang w:eastAsia="lv-LV"/>
        </w:rPr>
      </w:pPr>
    </w:p>
    <w:p w14:paraId="0EFCD26B" w14:textId="14210F4E" w:rsidR="006011B1" w:rsidRDefault="006011B1" w:rsidP="002660F1">
      <w:pPr>
        <w:spacing w:after="0" w:line="276" w:lineRule="auto"/>
        <w:jc w:val="center"/>
        <w:rPr>
          <w:rFonts w:ascii="Roboto" w:hAnsi="Roboto"/>
          <w:b/>
          <w:color w:val="000000" w:themeColor="text1"/>
          <w:lang w:eastAsia="lv-LV"/>
        </w:rPr>
      </w:pPr>
    </w:p>
    <w:p w14:paraId="5354D68C" w14:textId="78B7ABAF" w:rsidR="006011B1" w:rsidRDefault="006011B1" w:rsidP="002660F1">
      <w:pPr>
        <w:spacing w:after="0" w:line="276" w:lineRule="auto"/>
        <w:jc w:val="center"/>
        <w:rPr>
          <w:rFonts w:ascii="Roboto" w:hAnsi="Roboto"/>
          <w:b/>
          <w:color w:val="000000" w:themeColor="text1"/>
          <w:lang w:eastAsia="lv-LV"/>
        </w:rPr>
      </w:pPr>
    </w:p>
    <w:p w14:paraId="3942539B" w14:textId="408E450A" w:rsidR="006011B1" w:rsidRDefault="006011B1" w:rsidP="002660F1">
      <w:pPr>
        <w:spacing w:after="0" w:line="276" w:lineRule="auto"/>
        <w:jc w:val="center"/>
        <w:rPr>
          <w:rFonts w:ascii="Roboto" w:hAnsi="Roboto"/>
          <w:b/>
          <w:color w:val="000000" w:themeColor="text1"/>
          <w:lang w:eastAsia="lv-LV"/>
        </w:rPr>
      </w:pPr>
    </w:p>
    <w:p w14:paraId="2CFB6168" w14:textId="42D4A547" w:rsidR="006011B1" w:rsidRDefault="006011B1" w:rsidP="002660F1">
      <w:pPr>
        <w:spacing w:after="0" w:line="276" w:lineRule="auto"/>
        <w:jc w:val="center"/>
        <w:rPr>
          <w:rFonts w:ascii="Roboto" w:hAnsi="Roboto"/>
          <w:b/>
          <w:color w:val="000000" w:themeColor="text1"/>
          <w:lang w:eastAsia="lv-LV"/>
        </w:rPr>
      </w:pPr>
    </w:p>
    <w:p w14:paraId="72D56E1B" w14:textId="00EDEF6F" w:rsidR="006011B1" w:rsidRDefault="006011B1" w:rsidP="002660F1">
      <w:pPr>
        <w:spacing w:after="0" w:line="276" w:lineRule="auto"/>
        <w:jc w:val="center"/>
        <w:rPr>
          <w:rFonts w:ascii="Roboto" w:hAnsi="Roboto"/>
          <w:b/>
          <w:color w:val="000000" w:themeColor="text1"/>
          <w:lang w:eastAsia="lv-LV"/>
        </w:rPr>
      </w:pPr>
    </w:p>
    <w:p w14:paraId="43071EE9" w14:textId="0339A339" w:rsidR="006011B1" w:rsidRDefault="006011B1" w:rsidP="002660F1">
      <w:pPr>
        <w:spacing w:after="0" w:line="276" w:lineRule="auto"/>
        <w:jc w:val="center"/>
        <w:rPr>
          <w:rFonts w:ascii="Roboto" w:hAnsi="Roboto"/>
          <w:b/>
          <w:color w:val="000000" w:themeColor="text1"/>
          <w:lang w:eastAsia="lv-LV"/>
        </w:rPr>
      </w:pPr>
    </w:p>
    <w:p w14:paraId="553760BA" w14:textId="4886A10E" w:rsidR="006011B1" w:rsidRDefault="006011B1" w:rsidP="002660F1">
      <w:pPr>
        <w:spacing w:after="0" w:line="276" w:lineRule="auto"/>
        <w:jc w:val="center"/>
        <w:rPr>
          <w:rFonts w:ascii="Roboto" w:hAnsi="Roboto"/>
          <w:b/>
          <w:color w:val="000000" w:themeColor="text1"/>
          <w:lang w:eastAsia="lv-LV"/>
        </w:rPr>
      </w:pPr>
    </w:p>
    <w:p w14:paraId="6FDD6CA0" w14:textId="1C9D2E76" w:rsidR="006011B1" w:rsidRDefault="006011B1" w:rsidP="002660F1">
      <w:pPr>
        <w:spacing w:after="0" w:line="276" w:lineRule="auto"/>
        <w:jc w:val="center"/>
        <w:rPr>
          <w:rFonts w:ascii="Roboto" w:hAnsi="Roboto"/>
          <w:b/>
          <w:color w:val="000000" w:themeColor="text1"/>
          <w:lang w:eastAsia="lv-LV"/>
        </w:rPr>
      </w:pPr>
    </w:p>
    <w:p w14:paraId="550C33EA" w14:textId="50308A0C" w:rsidR="006011B1" w:rsidRDefault="006011B1" w:rsidP="002660F1">
      <w:pPr>
        <w:spacing w:after="0" w:line="276" w:lineRule="auto"/>
        <w:jc w:val="center"/>
        <w:rPr>
          <w:rFonts w:ascii="Roboto" w:hAnsi="Roboto"/>
          <w:b/>
          <w:color w:val="000000" w:themeColor="text1"/>
          <w:lang w:eastAsia="lv-LV"/>
        </w:rPr>
      </w:pPr>
    </w:p>
    <w:p w14:paraId="712CD9BB" w14:textId="60A9BFEF" w:rsidR="006011B1" w:rsidRDefault="006011B1" w:rsidP="002660F1">
      <w:pPr>
        <w:spacing w:after="0" w:line="276" w:lineRule="auto"/>
        <w:jc w:val="center"/>
        <w:rPr>
          <w:rFonts w:ascii="Roboto" w:hAnsi="Roboto"/>
          <w:b/>
          <w:color w:val="000000" w:themeColor="text1"/>
          <w:lang w:eastAsia="lv-LV"/>
        </w:rPr>
      </w:pPr>
    </w:p>
    <w:p w14:paraId="6B352E54" w14:textId="723F4C0A" w:rsidR="006011B1" w:rsidRDefault="006011B1" w:rsidP="002660F1">
      <w:pPr>
        <w:spacing w:after="0" w:line="276" w:lineRule="auto"/>
        <w:jc w:val="center"/>
        <w:rPr>
          <w:rFonts w:ascii="Roboto" w:hAnsi="Roboto"/>
          <w:b/>
          <w:color w:val="000000" w:themeColor="text1"/>
          <w:lang w:eastAsia="lv-LV"/>
        </w:rPr>
      </w:pPr>
    </w:p>
    <w:p w14:paraId="015521D5" w14:textId="39FFA825" w:rsidR="006011B1" w:rsidRDefault="006011B1" w:rsidP="002660F1">
      <w:pPr>
        <w:spacing w:after="0" w:line="276" w:lineRule="auto"/>
        <w:jc w:val="center"/>
        <w:rPr>
          <w:rFonts w:ascii="Roboto" w:hAnsi="Roboto"/>
          <w:b/>
          <w:color w:val="000000" w:themeColor="text1"/>
          <w:lang w:eastAsia="lv-LV"/>
        </w:rPr>
      </w:pPr>
    </w:p>
    <w:p w14:paraId="1FE25D06" w14:textId="4A177C5B" w:rsidR="006011B1" w:rsidRDefault="006011B1" w:rsidP="002660F1">
      <w:pPr>
        <w:spacing w:after="0" w:line="276" w:lineRule="auto"/>
        <w:jc w:val="center"/>
        <w:rPr>
          <w:rFonts w:ascii="Roboto" w:hAnsi="Roboto"/>
          <w:b/>
          <w:color w:val="000000" w:themeColor="text1"/>
          <w:lang w:eastAsia="lv-LV"/>
        </w:rPr>
      </w:pPr>
    </w:p>
    <w:p w14:paraId="020A8C59" w14:textId="69B6EB46" w:rsidR="006011B1" w:rsidRDefault="006011B1" w:rsidP="002660F1">
      <w:pPr>
        <w:spacing w:after="0" w:line="276" w:lineRule="auto"/>
        <w:jc w:val="center"/>
        <w:rPr>
          <w:rFonts w:ascii="Roboto" w:hAnsi="Roboto"/>
          <w:b/>
          <w:color w:val="000000" w:themeColor="text1"/>
          <w:lang w:eastAsia="lv-LV"/>
        </w:rPr>
      </w:pPr>
    </w:p>
    <w:p w14:paraId="296CDE6F" w14:textId="509E186C" w:rsidR="006011B1" w:rsidRDefault="006011B1" w:rsidP="002660F1">
      <w:pPr>
        <w:spacing w:after="0" w:line="276" w:lineRule="auto"/>
        <w:jc w:val="center"/>
        <w:rPr>
          <w:rFonts w:ascii="Roboto" w:hAnsi="Roboto"/>
          <w:b/>
          <w:color w:val="000000" w:themeColor="text1"/>
          <w:lang w:eastAsia="lv-LV"/>
        </w:rPr>
      </w:pPr>
    </w:p>
    <w:p w14:paraId="5C1BC7BE" w14:textId="30CA9C11" w:rsidR="006011B1" w:rsidRDefault="006011B1" w:rsidP="002660F1">
      <w:pPr>
        <w:spacing w:after="0" w:line="276" w:lineRule="auto"/>
        <w:jc w:val="center"/>
        <w:rPr>
          <w:rFonts w:ascii="Roboto" w:hAnsi="Roboto"/>
          <w:b/>
          <w:color w:val="000000" w:themeColor="text1"/>
          <w:lang w:eastAsia="lv-LV"/>
        </w:rPr>
      </w:pPr>
    </w:p>
    <w:p w14:paraId="67D1FC0F" w14:textId="7DBFBB04" w:rsidR="006011B1" w:rsidRDefault="006011B1" w:rsidP="002660F1">
      <w:pPr>
        <w:spacing w:after="0" w:line="276" w:lineRule="auto"/>
        <w:jc w:val="center"/>
        <w:rPr>
          <w:rFonts w:ascii="Roboto" w:hAnsi="Roboto"/>
          <w:b/>
          <w:color w:val="000000" w:themeColor="text1"/>
          <w:lang w:eastAsia="lv-LV"/>
        </w:rPr>
      </w:pPr>
    </w:p>
    <w:p w14:paraId="3F76740D" w14:textId="3E4EEA45" w:rsidR="006011B1" w:rsidRDefault="006011B1" w:rsidP="002660F1">
      <w:pPr>
        <w:spacing w:after="0" w:line="276" w:lineRule="auto"/>
        <w:jc w:val="center"/>
        <w:rPr>
          <w:rFonts w:ascii="Roboto" w:hAnsi="Roboto"/>
          <w:b/>
          <w:color w:val="000000" w:themeColor="text1"/>
          <w:lang w:eastAsia="lv-LV"/>
        </w:rPr>
      </w:pPr>
    </w:p>
    <w:p w14:paraId="747E20D8" w14:textId="25BEFF1F" w:rsidR="006011B1" w:rsidRDefault="006011B1" w:rsidP="002660F1">
      <w:pPr>
        <w:spacing w:after="0" w:line="276" w:lineRule="auto"/>
        <w:jc w:val="center"/>
        <w:rPr>
          <w:rFonts w:ascii="Roboto" w:hAnsi="Roboto"/>
          <w:b/>
          <w:color w:val="000000" w:themeColor="text1"/>
          <w:lang w:eastAsia="lv-LV"/>
        </w:rPr>
      </w:pPr>
    </w:p>
    <w:p w14:paraId="2B4E1D75" w14:textId="6ECCD922" w:rsidR="006011B1" w:rsidRDefault="006011B1" w:rsidP="002660F1">
      <w:pPr>
        <w:spacing w:after="0" w:line="276" w:lineRule="auto"/>
        <w:jc w:val="center"/>
        <w:rPr>
          <w:rFonts w:ascii="Roboto" w:hAnsi="Roboto"/>
          <w:b/>
          <w:color w:val="000000" w:themeColor="text1"/>
          <w:lang w:eastAsia="lv-LV"/>
        </w:rPr>
      </w:pPr>
    </w:p>
    <w:p w14:paraId="43B2E011" w14:textId="404AC99D" w:rsidR="006011B1" w:rsidRDefault="006011B1" w:rsidP="002660F1">
      <w:pPr>
        <w:spacing w:after="0" w:line="276" w:lineRule="auto"/>
        <w:jc w:val="center"/>
        <w:rPr>
          <w:rFonts w:ascii="Roboto" w:hAnsi="Roboto"/>
          <w:b/>
          <w:color w:val="000000" w:themeColor="text1"/>
          <w:lang w:eastAsia="lv-LV"/>
        </w:rPr>
      </w:pPr>
    </w:p>
    <w:p w14:paraId="102552EC" w14:textId="02EAD4C5" w:rsidR="006011B1" w:rsidRDefault="006011B1" w:rsidP="002660F1">
      <w:pPr>
        <w:spacing w:after="0" w:line="276" w:lineRule="auto"/>
        <w:jc w:val="center"/>
        <w:rPr>
          <w:rFonts w:ascii="Roboto" w:hAnsi="Roboto"/>
          <w:b/>
          <w:color w:val="000000" w:themeColor="text1"/>
          <w:lang w:eastAsia="lv-LV"/>
        </w:rPr>
      </w:pPr>
    </w:p>
    <w:p w14:paraId="05F1436A" w14:textId="13B3F5AE" w:rsidR="006011B1" w:rsidRDefault="006011B1" w:rsidP="002660F1">
      <w:pPr>
        <w:spacing w:after="0" w:line="276" w:lineRule="auto"/>
        <w:jc w:val="center"/>
        <w:rPr>
          <w:rFonts w:ascii="Roboto" w:hAnsi="Roboto"/>
          <w:b/>
          <w:color w:val="000000" w:themeColor="text1"/>
          <w:lang w:eastAsia="lv-LV"/>
        </w:rPr>
      </w:pPr>
    </w:p>
    <w:p w14:paraId="79E4D935" w14:textId="5B6DC25F" w:rsidR="006011B1" w:rsidRDefault="006011B1" w:rsidP="002660F1">
      <w:pPr>
        <w:spacing w:after="0" w:line="276" w:lineRule="auto"/>
        <w:jc w:val="center"/>
        <w:rPr>
          <w:rFonts w:ascii="Roboto" w:hAnsi="Roboto"/>
          <w:b/>
          <w:color w:val="000000" w:themeColor="text1"/>
          <w:lang w:eastAsia="lv-LV"/>
        </w:rPr>
      </w:pPr>
    </w:p>
    <w:p w14:paraId="1CC69F57" w14:textId="0ADB8481" w:rsidR="006011B1" w:rsidRDefault="006011B1" w:rsidP="002660F1">
      <w:pPr>
        <w:spacing w:after="0" w:line="276" w:lineRule="auto"/>
        <w:jc w:val="center"/>
        <w:rPr>
          <w:rFonts w:ascii="Roboto" w:hAnsi="Roboto"/>
          <w:b/>
          <w:color w:val="000000" w:themeColor="text1"/>
          <w:lang w:eastAsia="lv-LV"/>
        </w:rPr>
      </w:pPr>
    </w:p>
    <w:p w14:paraId="22770FAC" w14:textId="4CA105E9" w:rsidR="006011B1" w:rsidRDefault="006011B1" w:rsidP="002660F1">
      <w:pPr>
        <w:spacing w:after="0" w:line="276" w:lineRule="auto"/>
        <w:jc w:val="center"/>
        <w:rPr>
          <w:rFonts w:ascii="Roboto" w:hAnsi="Roboto"/>
          <w:b/>
          <w:color w:val="000000" w:themeColor="text1"/>
          <w:lang w:eastAsia="lv-LV"/>
        </w:rPr>
      </w:pPr>
    </w:p>
    <w:p w14:paraId="586C9FF9" w14:textId="5A41F59D" w:rsidR="006011B1" w:rsidRDefault="006011B1" w:rsidP="002660F1">
      <w:pPr>
        <w:spacing w:after="0" w:line="276" w:lineRule="auto"/>
        <w:jc w:val="center"/>
        <w:rPr>
          <w:rFonts w:ascii="Roboto" w:hAnsi="Roboto"/>
          <w:b/>
          <w:color w:val="000000" w:themeColor="text1"/>
          <w:lang w:eastAsia="lv-LV"/>
        </w:rPr>
      </w:pPr>
    </w:p>
    <w:p w14:paraId="2F785FED" w14:textId="77777777" w:rsidR="006011B1" w:rsidRPr="002660F1" w:rsidRDefault="006011B1" w:rsidP="002660F1">
      <w:pPr>
        <w:spacing w:after="0" w:line="276" w:lineRule="auto"/>
        <w:jc w:val="center"/>
        <w:rPr>
          <w:rFonts w:ascii="Roboto" w:hAnsi="Roboto"/>
          <w:b/>
          <w:color w:val="000000" w:themeColor="text1"/>
          <w:lang w:eastAsia="lv-LV"/>
        </w:rPr>
      </w:pPr>
    </w:p>
    <w:p w14:paraId="0831D03F" w14:textId="77777777" w:rsidR="002660F1" w:rsidRPr="002660F1" w:rsidRDefault="002660F1" w:rsidP="002660F1">
      <w:pPr>
        <w:spacing w:after="0" w:line="276" w:lineRule="auto"/>
        <w:jc w:val="center"/>
        <w:rPr>
          <w:rFonts w:ascii="Roboto" w:hAnsi="Roboto"/>
          <w:b/>
          <w:color w:val="000000" w:themeColor="text1"/>
          <w:lang w:eastAsia="lv-LV"/>
        </w:rPr>
      </w:pPr>
      <w:r w:rsidRPr="002660F1">
        <w:rPr>
          <w:rFonts w:ascii="Roboto" w:hAnsi="Roboto"/>
          <w:b/>
          <w:color w:val="000000" w:themeColor="text1"/>
          <w:lang w:eastAsia="lv-LV"/>
        </w:rPr>
        <w:t>DOKUMENTS IR PARAKSTĪTS</w:t>
      </w:r>
    </w:p>
    <w:p w14:paraId="5EFDEE01" w14:textId="055926AE" w:rsidR="00302D67" w:rsidRPr="004A7C84" w:rsidRDefault="002660F1" w:rsidP="004A7C84">
      <w:pPr>
        <w:spacing w:after="0" w:line="276" w:lineRule="auto"/>
        <w:jc w:val="center"/>
        <w:rPr>
          <w:rFonts w:ascii="Roboto" w:hAnsi="Roboto"/>
          <w:b/>
          <w:color w:val="000000" w:themeColor="text1"/>
          <w:lang w:eastAsia="lv-LV"/>
        </w:rPr>
      </w:pPr>
      <w:r w:rsidRPr="002660F1">
        <w:rPr>
          <w:rFonts w:ascii="Roboto" w:hAnsi="Roboto"/>
          <w:b/>
          <w:color w:val="000000" w:themeColor="text1"/>
          <w:lang w:eastAsia="lv-LV"/>
        </w:rPr>
        <w:t>AR DROŠU ELEKTRONISKO PARAKSTU</w:t>
      </w:r>
      <w:r w:rsidR="004A7C84">
        <w:rPr>
          <w:rFonts w:ascii="Roboto" w:hAnsi="Roboto"/>
          <w:b/>
          <w:color w:val="000000" w:themeColor="text1"/>
          <w:lang w:eastAsia="lv-LV"/>
        </w:rPr>
        <w:t xml:space="preserve"> UN SATUR LAIKA ZĪMOGU</w:t>
      </w:r>
    </w:p>
    <w:sectPr w:rsidR="00302D67" w:rsidRPr="004A7C84" w:rsidSect="004A7C84">
      <w:footerReference w:type="default" r:id="rId10"/>
      <w:pgSz w:w="11906" w:h="16838"/>
      <w:pgMar w:top="1134" w:right="87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EA1E7" w14:textId="77777777" w:rsidR="00553840" w:rsidRDefault="00553840" w:rsidP="00637558">
      <w:pPr>
        <w:spacing w:after="0" w:line="240" w:lineRule="auto"/>
      </w:pPr>
      <w:r>
        <w:separator/>
      </w:r>
    </w:p>
  </w:endnote>
  <w:endnote w:type="continuationSeparator" w:id="0">
    <w:p w14:paraId="4CBCE43A" w14:textId="77777777" w:rsidR="00553840" w:rsidRDefault="00553840" w:rsidP="0063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rPr>
      <w:id w:val="-2126842280"/>
      <w:docPartObj>
        <w:docPartGallery w:val="Page Numbers (Bottom of Page)"/>
        <w:docPartUnique/>
      </w:docPartObj>
    </w:sdtPr>
    <w:sdtEndPr/>
    <w:sdtContent>
      <w:p w14:paraId="5534F88F" w14:textId="0BF72296" w:rsidR="00637558" w:rsidRPr="0007082B" w:rsidRDefault="0007082B" w:rsidP="0007082B">
        <w:pPr>
          <w:pStyle w:val="Footer"/>
          <w:jc w:val="right"/>
          <w:rPr>
            <w:rFonts w:ascii="Roboto" w:hAnsi="Roboto"/>
          </w:rPr>
        </w:pPr>
        <w:r w:rsidRPr="0007082B">
          <w:rPr>
            <w:rFonts w:ascii="Roboto" w:hAnsi="Roboto"/>
          </w:rPr>
          <w:fldChar w:fldCharType="begin"/>
        </w:r>
        <w:r w:rsidRPr="0007082B">
          <w:rPr>
            <w:rFonts w:ascii="Roboto" w:hAnsi="Roboto"/>
          </w:rPr>
          <w:instrText>PAGE   \* MERGEFORMAT</w:instrText>
        </w:r>
        <w:r w:rsidRPr="0007082B">
          <w:rPr>
            <w:rFonts w:ascii="Roboto" w:hAnsi="Roboto"/>
          </w:rPr>
          <w:fldChar w:fldCharType="separate"/>
        </w:r>
        <w:r w:rsidRPr="0007082B">
          <w:rPr>
            <w:rFonts w:ascii="Roboto" w:hAnsi="Roboto"/>
            <w:lang w:val="lv-LV"/>
          </w:rPr>
          <w:t>2</w:t>
        </w:r>
        <w:r w:rsidRPr="0007082B">
          <w:rPr>
            <w:rFonts w:ascii="Roboto" w:hAnsi="Robo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76E2" w14:textId="77777777" w:rsidR="00553840" w:rsidRDefault="00553840" w:rsidP="00637558">
      <w:pPr>
        <w:spacing w:after="0" w:line="240" w:lineRule="auto"/>
      </w:pPr>
      <w:r>
        <w:separator/>
      </w:r>
    </w:p>
  </w:footnote>
  <w:footnote w:type="continuationSeparator" w:id="0">
    <w:p w14:paraId="59419A0D" w14:textId="77777777" w:rsidR="00553840" w:rsidRDefault="00553840" w:rsidP="00637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5B2F"/>
    <w:multiLevelType w:val="hybridMultilevel"/>
    <w:tmpl w:val="7AEE9184"/>
    <w:lvl w:ilvl="0" w:tplc="A38CC5FA">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194DF1"/>
    <w:multiLevelType w:val="hybridMultilevel"/>
    <w:tmpl w:val="8CAE6CF0"/>
    <w:lvl w:ilvl="0" w:tplc="9802FB4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85D4837"/>
    <w:multiLevelType w:val="hybridMultilevel"/>
    <w:tmpl w:val="75BE8D42"/>
    <w:lvl w:ilvl="0" w:tplc="7FF09E0A">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59"/>
    <w:rsid w:val="00006AAE"/>
    <w:rsid w:val="0003678F"/>
    <w:rsid w:val="000615B0"/>
    <w:rsid w:val="0007082B"/>
    <w:rsid w:val="000709C6"/>
    <w:rsid w:val="000D6E2D"/>
    <w:rsid w:val="00140B90"/>
    <w:rsid w:val="00167399"/>
    <w:rsid w:val="00237ABC"/>
    <w:rsid w:val="002660F1"/>
    <w:rsid w:val="00302D67"/>
    <w:rsid w:val="00380A43"/>
    <w:rsid w:val="003818C4"/>
    <w:rsid w:val="00393A5B"/>
    <w:rsid w:val="0041529F"/>
    <w:rsid w:val="00444E59"/>
    <w:rsid w:val="00453217"/>
    <w:rsid w:val="004A7C84"/>
    <w:rsid w:val="004B7DE8"/>
    <w:rsid w:val="004E75E9"/>
    <w:rsid w:val="00505C8F"/>
    <w:rsid w:val="00553840"/>
    <w:rsid w:val="005C36E8"/>
    <w:rsid w:val="005E207E"/>
    <w:rsid w:val="005F1051"/>
    <w:rsid w:val="006011B1"/>
    <w:rsid w:val="00623B1D"/>
    <w:rsid w:val="00637558"/>
    <w:rsid w:val="00673EF6"/>
    <w:rsid w:val="006E7F4D"/>
    <w:rsid w:val="00741749"/>
    <w:rsid w:val="00741AB3"/>
    <w:rsid w:val="00766309"/>
    <w:rsid w:val="00770668"/>
    <w:rsid w:val="0079754A"/>
    <w:rsid w:val="007B47CC"/>
    <w:rsid w:val="00822AD5"/>
    <w:rsid w:val="00912FC4"/>
    <w:rsid w:val="00932AA6"/>
    <w:rsid w:val="009446F5"/>
    <w:rsid w:val="00961141"/>
    <w:rsid w:val="00A5540D"/>
    <w:rsid w:val="00A5788D"/>
    <w:rsid w:val="00A70215"/>
    <w:rsid w:val="00B319A3"/>
    <w:rsid w:val="00B46954"/>
    <w:rsid w:val="00BA2393"/>
    <w:rsid w:val="00C23953"/>
    <w:rsid w:val="00C80B9B"/>
    <w:rsid w:val="00D34FC9"/>
    <w:rsid w:val="00D71C98"/>
    <w:rsid w:val="00DE0FAB"/>
    <w:rsid w:val="00E561DE"/>
    <w:rsid w:val="00EC1C52"/>
    <w:rsid w:val="00F101B5"/>
    <w:rsid w:val="00F5246B"/>
    <w:rsid w:val="00F611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98B7"/>
  <w15:chartTrackingRefBased/>
  <w15:docId w15:val="{AB07B381-F977-4C11-A8E9-17BC06B1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E59"/>
    <w:pPr>
      <w:ind w:left="720"/>
      <w:contextualSpacing/>
    </w:pPr>
  </w:style>
  <w:style w:type="character" w:styleId="Hyperlink">
    <w:name w:val="Hyperlink"/>
    <w:basedOn w:val="DefaultParagraphFont"/>
    <w:uiPriority w:val="99"/>
    <w:unhideWhenUsed/>
    <w:rsid w:val="00C80B9B"/>
    <w:rPr>
      <w:color w:val="0563C1" w:themeColor="hyperlink"/>
      <w:u w:val="single"/>
    </w:rPr>
  </w:style>
  <w:style w:type="character" w:styleId="UnresolvedMention">
    <w:name w:val="Unresolved Mention"/>
    <w:basedOn w:val="DefaultParagraphFont"/>
    <w:uiPriority w:val="99"/>
    <w:semiHidden/>
    <w:unhideWhenUsed/>
    <w:rsid w:val="00C80B9B"/>
    <w:rPr>
      <w:color w:val="605E5C"/>
      <w:shd w:val="clear" w:color="auto" w:fill="E1DFDD"/>
    </w:rPr>
  </w:style>
  <w:style w:type="paragraph" w:customStyle="1" w:styleId="tv213">
    <w:name w:val="tv213"/>
    <w:basedOn w:val="Normal"/>
    <w:rsid w:val="002660F1"/>
    <w:pPr>
      <w:spacing w:before="100" w:beforeAutospacing="1" w:after="100" w:afterAutospacing="1" w:line="240" w:lineRule="auto"/>
    </w:pPr>
    <w:rPr>
      <w:rFonts w:ascii="Times New Roman" w:eastAsia="Times New Roman" w:hAnsi="Times New Roman" w:cs="Times New Roman"/>
      <w:noProof w:val="0"/>
      <w:sz w:val="24"/>
      <w:szCs w:val="24"/>
      <w:lang w:val="lv-LV" w:eastAsia="lv-LV"/>
    </w:rPr>
  </w:style>
  <w:style w:type="paragraph" w:styleId="Header">
    <w:name w:val="header"/>
    <w:basedOn w:val="Normal"/>
    <w:link w:val="HeaderChar"/>
    <w:uiPriority w:val="99"/>
    <w:unhideWhenUsed/>
    <w:rsid w:val="00637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558"/>
    <w:rPr>
      <w:noProof/>
      <w:lang w:val="en-US"/>
    </w:rPr>
  </w:style>
  <w:style w:type="paragraph" w:styleId="Footer">
    <w:name w:val="footer"/>
    <w:basedOn w:val="Normal"/>
    <w:link w:val="FooterChar"/>
    <w:uiPriority w:val="99"/>
    <w:unhideWhenUsed/>
    <w:rsid w:val="00637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558"/>
    <w:rPr>
      <w:noProof/>
      <w:lang w:val="en-US"/>
    </w:rPr>
  </w:style>
  <w:style w:type="paragraph" w:styleId="FootnoteText">
    <w:name w:val="footnote text"/>
    <w:basedOn w:val="Normal"/>
    <w:link w:val="FootnoteTextChar"/>
    <w:uiPriority w:val="99"/>
    <w:semiHidden/>
    <w:unhideWhenUsed/>
    <w:rsid w:val="000D6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E2D"/>
    <w:rPr>
      <w:noProof/>
      <w:sz w:val="20"/>
      <w:szCs w:val="20"/>
      <w:lang w:val="en-US"/>
    </w:rPr>
  </w:style>
  <w:style w:type="character" w:styleId="FootnoteReference">
    <w:name w:val="footnote reference"/>
    <w:basedOn w:val="DefaultParagraphFont"/>
    <w:uiPriority w:val="99"/>
    <w:semiHidden/>
    <w:unhideWhenUsed/>
    <w:rsid w:val="000D6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14771">
      <w:bodyDiv w:val="1"/>
      <w:marLeft w:val="0"/>
      <w:marRight w:val="0"/>
      <w:marTop w:val="0"/>
      <w:marBottom w:val="0"/>
      <w:divBdr>
        <w:top w:val="none" w:sz="0" w:space="0" w:color="auto"/>
        <w:left w:val="none" w:sz="0" w:space="0" w:color="auto"/>
        <w:bottom w:val="none" w:sz="0" w:space="0" w:color="auto"/>
        <w:right w:val="none" w:sz="0" w:space="0" w:color="auto"/>
      </w:divBdr>
    </w:div>
    <w:div w:id="1376850587">
      <w:bodyDiv w:val="1"/>
      <w:marLeft w:val="0"/>
      <w:marRight w:val="0"/>
      <w:marTop w:val="0"/>
      <w:marBottom w:val="0"/>
      <w:divBdr>
        <w:top w:val="none" w:sz="0" w:space="0" w:color="auto"/>
        <w:left w:val="none" w:sz="0" w:space="0" w:color="auto"/>
        <w:bottom w:val="none" w:sz="0" w:space="0" w:color="auto"/>
        <w:right w:val="none" w:sz="0" w:space="0" w:color="auto"/>
      </w:divBdr>
    </w:div>
    <w:div w:id="1545603442">
      <w:bodyDiv w:val="1"/>
      <w:marLeft w:val="0"/>
      <w:marRight w:val="0"/>
      <w:marTop w:val="0"/>
      <w:marBottom w:val="0"/>
      <w:divBdr>
        <w:top w:val="none" w:sz="0" w:space="0" w:color="auto"/>
        <w:left w:val="none" w:sz="0" w:space="0" w:color="auto"/>
        <w:bottom w:val="none" w:sz="0" w:space="0" w:color="auto"/>
        <w:right w:val="none" w:sz="0" w:space="0" w:color="auto"/>
      </w:divBdr>
    </w:div>
    <w:div w:id="16098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4420-7975-48EB-8742-E2061A76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4525</Words>
  <Characters>2580</Characters>
  <Application>Microsoft Office Word</Application>
  <DocSecurity>4</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Lielpeteris</dc:creator>
  <cp:keywords/>
  <dc:description/>
  <cp:lastModifiedBy>Intars Eglītis</cp:lastModifiedBy>
  <cp:revision>2</cp:revision>
  <dcterms:created xsi:type="dcterms:W3CDTF">2021-07-07T07:20:00Z</dcterms:created>
  <dcterms:modified xsi:type="dcterms:W3CDTF">2021-07-07T07:20:00Z</dcterms:modified>
</cp:coreProperties>
</file>