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24-TA-1855: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Vienotās digitālās vārtejas Regulas prasību ieviešanu 2023.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VARAMzino_digitalavarteja_180924.docx</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Precizitātes nolūkos lūdzam izvērtēt un pilnveidot informatīvā ziņojuma 2. sadaļas 2.2.2. uzdevuma skaidrojumu, proti, kādēļ uzdevums ir "daļēji izpildīts" un kādas konkrētas darbības vēl nepieciešams veikt 2.2.2. uzdevuma pilnīgai izpildei. No pašreizējā skaidrojuma izriet līdz šim veikto uzdevumu uzskaite, taču nav skaidri saprotams, vai uzskaitītās darbības ir pilnībā vai tikai daļēji izpildītas. Tādējādi lūdzam izvērtēt iepriekš minēto un nepieciešamības gadījumā precizēt informatīvā ziņojuma 2.sadaļas 2.2.2. uzdevuma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Čistjakova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VARAMzino_digitalavarteja_180924.docx</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izvērstāk skaidrot informatīvā ziņojuma 2.sadaļas 2.1. uzdevuma izvērtējumā uzdevuma neizpildes iemeslu, proti, lietotā jēdziena "resursu trūkums" būtību un nozīmi.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Čistjakova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VARAMzino_digitalavarteja_180924.docx</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juridiskām tehnikas prasībām, kas noteiktas Ministru kabineta noteikumu Nr. 108 "Normatīvo aktu projektu sagatavošanas noteikumi" 171. punktā, aicinām atkārtoti informatīvā ziņojuma sadaļā "Lietotie saīsinājumi" norādīt precīzas atsauces uz šādām regulām: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Komisijas 2022.gada 5.augusta Īstenošanas regula (ES) 2022/1463, ar ko nosaka tehniskās un darbības specifikācijas tehniskajai sistēmai apliecinājumu automatizētai pārrobežu apmaiņai un vienreizējas iesniegšanas principa piemērošanai saskaņā ar Eiropas Parlamenta un Padomes Regulu (ES) 2018/1724 (</w:t>
            </w:r>
            <w:r w:rsidR="00000000" w:rsidRPr="00000000" w:rsidDel="00000000">
              <w:rPr>
                <w:u w:val="single"/>
                <w:rtl w:val="0"/>
              </w:rPr>
              <w:t xml:space="preserve">informatīvajā ziņojumā izmantotais saīsinājums "OOTS Regula"</w:t>
            </w:r>
            <w:r w:rsidR="00000000" w:rsidRPr="00000000" w:rsidDel="00000000">
              <w:rPr>
                <w:rtl w:val="0"/>
              </w:rPr>
              <w:t xml:space="preserve">); un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Parlamenta un Padomes 2018.gada 2.oktorba Regula (ES) 2018/1724, ar ko izveido vienotu digitālo vārteju, lai sniegtu piekļuvi informācijai, procedūrām un palīdzības un problēmu risināšanas pakalpojumiem, un ar ko groza Regulu (ES) Nr. 1024/2012 (</w:t>
            </w:r>
            <w:r w:rsidR="00000000" w:rsidRPr="00000000" w:rsidDel="00000000">
              <w:rPr>
                <w:u w:val="single"/>
                <w:rtl w:val="0"/>
              </w:rPr>
              <w:t xml:space="preserve">informatīvajā ziņojumā izmantotais saīsinājums "Regula"</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Čistjakova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VARAMzino_digitalavarteja_180924.docx</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informatīvā ziņojuma 1. un 2. sadaļā precizēt un izvērstāk skaidrot piemērojamos risinājumus, kas tiek vai tiks īstenoti, norādīto uzdevumu daļējas izpildes vai neizpildes novēršanai. Pašreiz informatīvajā ziņojumā nav pietiekams skaidrojums par līdzekļiem vai darbībām, kuras nepieciešams veikt, lai sasniegtu Eiropas Parlamenta un Padomes 2018.gada 2.oktobra Regulas (ES) 2018/1724, ar ko izveido vienotu digitālo vārteju, lai sniegtu piekļuvi informācijai, procedūrām un palīdzības un problēmu risināšanas pakalpojumiem, un ar ko groza Regulu (ES) Nr. 1024/2012 (turpmāk - Regula 2018/1724) prasību izpildi noteiktajā termiņā.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Čistjakova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24-TA-1855</w:t>
    </w:r>
    <w:r>
      <w:br/>
    </w:r>
    <w:r w:rsidR="00000000" w:rsidRPr="00000000" w:rsidDel="00000000">
      <w:rPr>
        <w:rtl w:val="0"/>
      </w:rPr>
      <w:t xml:space="preserve">Izdrukāts 25.09.2024. 10.30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24-TA-1855</w:t>
    </w:r>
    <w:r>
      <w:br/>
    </w:r>
    <w:r w:rsidR="00000000" w:rsidRPr="00000000" w:rsidDel="00000000">
      <w:rPr>
        <w:rtl w:val="0"/>
      </w:rPr>
      <w:t xml:space="preserve">Izdrukāts 25.09.2024. 10.30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Atzinumi_24-TA-1855.docx</dc:title>
</cp:coreProperties>
</file>

<file path=docProps/custom.xml><?xml version="1.0" encoding="utf-8"?>
<Properties xmlns="http://schemas.openxmlformats.org/officeDocument/2006/custom-properties" xmlns:vt="http://schemas.openxmlformats.org/officeDocument/2006/docPropsVTypes"/>
</file>