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personas ar ļoti smagiem garīga rakstura un multipliem traucējumiem (I invaliditātes grupa).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sašaurinātai mērķa grupai, jo tam nav racionāla pamatojuma. Starp klientiem var būt arī personas ar smagiem funkcionāliem traucējumiem, kuriem gan ar I, gan II invaliditātes grupa. Ieteikums paplašināt mērķa grupu personas ar garīga rakstura traucējumiem (I un II invaliditātes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Pasākuma ietvaros šo noteikumu 18. punktā minēto atbalstāmo darbību izmaksu veikšanai sadarbības iestāde finansējuma saņēmējam veic avansa un starpposma maksājumus atbilstoši normatīvajiem aktiem, kas nosaka valsts budžeta līdzekļu plānošanas kārtību Eiropas Savienības fondu projektu īstenošanai un maksājumu veikšanai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lūdzam veikt atbilstošus precizējumus Noteikumu 25. punkta redakcijā, papildinot, kāds ir maksimāli pieejamais avansa apmērs, ko, pamatojoties uz finansējuma saņēmēju rakstisku avansa pieprasījumu, sadarbības iestāde var nodrošināt finansējuma saņēmējam atbalstāmo darbību izmaksu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nodrošina, ka projektā plānotās atbalstāmās darbības netiek finansētas vai līdzfinansētas, kā arī tās nav plānots finansēt vai līdzfinansēt no citiem valsts, pašvaldības vai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Nesamērīga ir prasība, ka vienlaicīgi nevar būt vairāki finansējuma avoti tādejādi ierobežojot pakalpojuma sniegšanas/saņemšanas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šo noteikumu 3. punktā minētā mērķa grupa nenodrošina pilnu projekta ietvaros izveidotās infrastruktūras noslodzi izveidotajā sabiedrībā balstītu sociālo pakalpojumu infrastruktūrā, tai skaitā šo noteikumu 37.10. apakšpunktā minētajā projekta rezultātu ilgtspējas nodrošināšanas periodā, sabiedrībā balstītus sociālos pakalpojumus var sniegt arī pilngadīgām personām ar garīga rakstura traucējumiem, kurām noteikta II invaliditātes grupa un bērniem ar invaliditāti, kuriem izsniegts Veselības un darbspēju ekspertīzes ārstu valsts komisijas atzinums par īpašas kopšanas nepieciešamību.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atbilstošus precizējumus Noteikumu projekta 38. punktā par definēto mērķa grupu vai arī sniegt papildu skaidrojumu, precizējot, kā 38. punktā noteiktās mērķa grupas definējums ir attiecināms  uz bērniem, t.i., ka sabiedrībā balstītus sociālos pakalpojumus (turpmāk – SBSP) var sniegt arī bērniem ar invaliditāti, kuriem izsniegts Veselības un darbspēju ekspertīzes ārstu valsts komisijas atzinums par īpašas kopšanas nepieciešamību, kas ir pretrunā ar Noteikumu anotācijas 1.3. apakšpunktā “Pašreizējā situācija, problēmas un risinājumi” definējumu, norādot, ka 4.3.1.5. pasākuma ietvaros atbalstāmās darbības, cita starpā izveidot un attīstīt SBSP infrastruktūru, ir paredzētas tikai pilngadīgām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29.11.2023.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29.11.2023.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