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sadaļas "Pašreizējā situācija, problēmas un risinājumi" apakšsadaļas "Risinājuma apraksts" pirmajā teikumā pareizi izteikt 2.3.1.2.i. investīcijas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atsauci uz normatīvo regulējumu, kas nosaka, ka pašnodarbinātas personas atbilst komersanta statusam. Gadījumā, ja šāds regulējums nav pieejams un ir plānots pašnodarbinātas personas ieskaitīt 2.3.1.2.i. investīcijas rādītājā Nr.64, lūgums sagatavot un iesūtīt jautājumu saskaņošanai ar Eiropas Komisiju.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vai būs nepieciešams veikt grozījumus līgumos un vienošanās par investīciju projekta īstenošanu, tostarp ņemot vērā, ka plānotie Ministru kabineta 2023. gada 12. septembra noteikumu Nr. 529 "Eiropas Savienības Atveseļošanas un noturības mehānisma plāna 2. komponentes "Digitālā transformācija" 2.3. reformu un investīciju virziena "Digitālās prasmes" 2.3.1.2.i. investīcijas "Uzņēmumu digitālo prasmju attīstība" īstenošanas noteikumi" (turpmāk - noteikumi Nr. 529) grozījumi papildināti arī ar izmaiņām avansa saņemšanas nosacījumos. Turklāt izziņas 3. punktā sniegts pamatojums līgumu un vienošanās par investīciju projektu īstenošanu grozījumu neveikšanai, paredzot, ka </w:t>
            </w:r>
            <w:r w:rsidR="00000000" w:rsidRPr="00000000" w:rsidDel="00000000">
              <w:rPr>
                <w:i w:val="1"/>
                <w:rtl w:val="0"/>
              </w:rPr>
              <w:t xml:space="preserve">pašnodarbinātu personu, kas veic saimniecisko darbību, iekļaušana gala saņēmēju lokā radīs tikai pozitīvu ietekmi un veicinās investīcijas kopējā rādītāja sasniegšanas pieaugumu</w:t>
            </w:r>
            <w:r w:rsidR="00000000" w:rsidRPr="00000000" w:rsidDel="00000000">
              <w:rPr>
                <w:rtl w:val="0"/>
              </w:rPr>
              <w:t xml:space="preserve"> - vēršam uzmanību, ka arī finansējuma saņēmējiem un gala labuma guvējiem labvēlīgu grozījumu gadījumā ir nepieciešams izvērtēt, vai ir veicami grozījumi līgumos un vienošanās par investīciju projektu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tiks veikti grozījumi līgumos un vienošanās par investīciju projekta īstenošanu, aicinām atbilstoši aizpildīt arī anotācijas 2.1. un 7.1. sadaļu. Ja grozījumi nav veicami, lūdzam to norādīt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ir norādīts, ka finansējums 2.3.1.2.i.investīcijas īstenošanai ir ieplānots Ekonomikas ministrijas budžeta apakšprogrammā 74.06.00 “Atveseļošana un noturības mehānisma (ANM) projekti un pasākumi”, savukārt noteikumu Nr.529 anotācijā tika sniegta informācija, ka investīcijas īstenošanai nepieciešamo finansējumu Finanšu ministrija lūgs pārdalīt no 80.00.00 programmas „Nesadalītais finansējums Eiropas Savienības politiku instrumentu un pārējās ārvalstu finanšu palīdzības līdzfinansēto projektu un pasākumu īstenošanai”, attiecīgi lūdzam izvērtēt un nepieciešamības gadījumā precizēt minēto informāciju. Turklāt norādām, ka minētajā sadaļas punktā norādītais investīcijai plānotais Atveseļošanas un noturības mehānisma finansējums 2025.gadā nesakrīt ar sadaļas tabulā 2. un 3.ailē atspoguļoto informāciju, attiecīgi lūdzam veikt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plānoto finansējuma pārdali uz 2.2.1.2.i. investīciju "Atbalsts procesu digitalizācijai komercdarbībā", lūdzam izvērtēt un papildināt anotācijas 4. sadaļu ar informāciju, ka tiks veikti 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palielinot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Investīcijas ietvaros gala labuma guvēji ir Latvijas Republikā reģistrēti sīkie (mikro), mazie, vidējie un lielie komersanti, tai skaitā tie, kas reģistrēti Latvijas Republikā reģistrēta ārvalstu komersanta filiālē, kurš veic saimniecisko darbību Latvijā, un Latvijā reģistrētas biedrības un nodibinājumi, kas veic saimniecisko darbību, pašnodarbinātas personas (turpmāk – gala labuma guvēji).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sadaļas apakšsadaļā "Risinājuma apraksts", 2.1. sadaļā un izziņas 2. punktā sniegto skaidrojumu, aicinām izvērtēt nepieciešamību papildināt noteikumu Nr. 529 4. punkta plānoto redakciju aiz vārdiem "pašnodarbinātas personas" ar vārdiem "kas veic saimniecisko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Kopējais investīcijā pieejamais Atveseļošanas fonda finansējums ir 16 357 008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2025. gada 8. augusta Eiropas Savienības fondu tematiskās komitejas lēmumam 2.3.1.2.i. investīcijas "Uzņēmumu digitālo prasmju attīstība" finansējuma atlikumus bija plānots pārdalīt uz 3.1.1.7.i. investīciju "Aizdevumi nekustamā īpašuma attīstītājiem zemas īres maksas mājokļu būvniecībai". Lūdzam skaidrot, vai Ekonomikas ministrija ir mainījusi savu lēmumu attiecībā uz minētā finansējuma pārdali un plāno novirzīt līdzekļus 2.2.1.2.i. investīcijas "Atbalsts procesu digitalizācijai komercdarbībā"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īstenošanas laikā finansējuma saņēmējs var saņemt avansa maksājumus, līdz brīdim, kamēr avansa un starpposma maksājumu kopsumma nepārsniedz 90 % no projekta Atveseļošanas fonda finansējuma apmēra, ja tiek ievēroti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drošas finanšu vadības principam atbilstošu avansa maksājumu plūsmu, lūdzam saglabāt noteikumu Nr. 529 74. punktā tā spēkā esošajā redakcijā ietverto nosacījumu, ka nākamais avansa maksājums tiek izsniegts, kad iepriekšējais maksājums ieguldīts pilnā apmērā. Turklāt vēršam uzmanību, ka atbilstoši plānotajai 74. un 75. punkta redakcijai finansējuma saņēmējs ir tiesīgs lūgt piešķirt arī lielāku avansa maksājuma apmēru nekā šobrīd spēkā esošajā redakcijā noteiktie 30%. 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Vērtēšanas kritēriji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grozīts noteikumu Nr. 529 7.2. apakšpunktā minētā finansējuma apmērs, lūdzam atbilstoši precizēt noteikumu Nr. 529 1. pielikuma "Vērtēšanas kritēriji" ievaddaļu.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25-TA-2136</w:t>
    </w:r>
    <w:r>
      <w:br/>
    </w:r>
    <w:r w:rsidR="00000000" w:rsidRPr="00000000" w:rsidDel="00000000">
      <w:rPr>
        <w:rtl w:val="0"/>
      </w:rPr>
      <w:t xml:space="preserve">Izdrukāts 15.10.2025.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25-TA-2136</w:t>
    </w:r>
    <w:r>
      <w:br/>
    </w:r>
    <w:r w:rsidR="00000000" w:rsidRPr="00000000" w:rsidDel="00000000">
      <w:rPr>
        <w:rtl w:val="0"/>
      </w:rPr>
      <w:t xml:space="preserve">Izdrukāts 15.10.2025.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Atzinumi_25-TA-2136.docx</dc:title>
</cp:coreProperties>
</file>

<file path=docProps/custom.xml><?xml version="1.0" encoding="utf-8"?>
<Properties xmlns="http://schemas.openxmlformats.org/officeDocument/2006/custom-properties" xmlns:vt="http://schemas.openxmlformats.org/officeDocument/2006/docPropsVTypes"/>
</file>