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Personu izceļošanas un izvešanas liegumu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Ziņu iekļaušanas reģistrā nolūks ir novērst personas, par kuru pieņemts attiecīgs lēmums, izceļošanu vai izvešanu no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 papildināts likumprojekta izdošanas pamatojums, norādot atsauci uz likumprojekta "Grozījumi likumā "Par policiju"" (21-TA-1780) 12.2 panta ceturtajā daļā ietverto deleģējumu, kas neaptver izņēmumu no Datu regulas piemērošanas, jo neskar valsts drošību, norādām, ka atbilstoši Datu regulas 6. panta 3. punktam normatīvajā aktā norādāms datu apstrādes nolūks. Ievērojot minēto, lūdzam izvērtēt iespējamību papildināt likumprojekta 2. punktu, izdalot reģistra nolūku un datu apstrādes nolūku, vai arī paskaidrot anotācijā Datu regulas izņēmuma pielietošanu, ņemot vērā izdošanas pamatojuma likumā norādītos nolūkus.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17.11.2023.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17.11.2023.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Atzinumi_22-TA-148.docx</dc:title>
</cp:coreProperties>
</file>

<file path=docProps/custom.xml><?xml version="1.0" encoding="utf-8"?>
<Properties xmlns="http://schemas.openxmlformats.org/officeDocument/2006/custom-properties" xmlns:vt="http://schemas.openxmlformats.org/officeDocument/2006/docPropsVTypes"/>
</file>