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veselības nozares Digitālo kompetenču centra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"Virziens: Digitālās veselības risinājumu atbilstība" 2.punktu papildināt ar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inovāciju “smilšu kastes” veidošana, t.sk. AI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"Virziens: Digitālās Veselības risinājumu izstrādes atbalsts" 2.punktu papildināt ar pakalpojumu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veidošana.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sadaļas "Mērķi/redzējums" 2.punktu papildināt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sekmēt eksportspējīgu e-veselības risinājumu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Izvērtēt vai pēc Centra izveides padotības iestādēm noteikt pildīt </w:t>
            </w:r>
            <w:r w:rsidR="00000000" w:rsidRPr="00000000" w:rsidDel="00000000">
              <w:rPr>
                <w:rtl w:val="0"/>
              </w:rPr>
              <w:t xml:space="preserve">Informācijas resursu turētāju lomu. Informācijas sistēmu pārziņa loma paredz organizēt un vadīt informācijas sistēmas darbību, ko padotības iestādes nevarēs pildīt, jo Centra veidošanas rezultātā visi IT eksperti, kas nodrošina šīs funkcijas izpildi, tiks pārcelti uz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Sadaļa jāpapildina ar sekojošiem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 vadība "emerging tech" pielietošanas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telemedicīonas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sekundārā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 izmantošanas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Papildināt sadaļu ar sekojošiem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Persoektīvā - veselības un labklājības datu telpu kopīga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Papildināt sadaļu ar sekojošiem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Vienotas jomas arhitektūras plānošana, ieviešana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ceļu analīze un lietotāju pieredzes pilnveide (digitālo) veselības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Persoektīvā - veselības un labklājības datu telpu kopīga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sadaļu ar problēmas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neveidojas vienota jomas arhitektūra, līdz ar to sistēmās veidojas datu un funkciju dublēšanās, ierobežota sadarbspēja u.c.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sadaļas 4.punktu ar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- 2024.gada izstrādāta veselības nozares jomas arhitektūra.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sadaļu 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plānošana, veidošana un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sadaļu 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veselības jomas pakalpojumu un risinājumu sadarbspēju un standartizāciju starp valsts un privātā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Plānot, izstrādāt, ieviest un pārvaldīt veselības nozares vienotu jomas arhitektūru (skat. piezīmi), saskaņojot to nacionālā un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Vienota jomas/nozares arhitektūra apraksta spēkā esošos normatīvos aktus, funkcijas, pakalpojumus, datus, informācijas sistēmas, IT infrastruktūru un to savstarpējās saites un atkarības, kā arī paredzamās izmaiņas tajos, definējot jomas mērķarhitektūru. Jomas arhitektūra attēlo daļu no visas Valsts digitālās pārvaldes arhitektūras, kas kopā veido vienotu veselumu.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16.01.2024. 00.16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16.01.2024. 00.16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Atzinumi_23-TA-3329.docx</dc:title>
</cp:coreProperties>
</file>

<file path=docProps/custom.xml><?xml version="1.0" encoding="utf-8"?>
<Properties xmlns="http://schemas.openxmlformats.org/officeDocument/2006/custom-properties" xmlns:vt="http://schemas.openxmlformats.org/officeDocument/2006/docPropsVTypes"/>
</file>