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pirms noteikumu projekta tālākas virzības apstiprināšanai, pārskatīt 4.2.4.2.pasākuma ieviešanas shēmu LR Valsts kontroles (VK) revīzijas ieteikumu kontekstā – vēlreiz izvērtējot institucionālo funkciju sadalījumu, lai nodrošinātu administratīvā sloga mazināšanu un tautsaimnieciski efektīvāko risinājumu piemērošanu pieaugušo izglītības nodrošināšanā, kā arī paredzēt pasākuma prioritārās mērķa grupas iesaistes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īstenošanā izglītības iestāde paredz nodrošināt mācību piedāvājumu, ko ir apstiprinājusi šo noteikumu </w:t>
            </w:r>
            <w:r w:rsidR="00000000" w:rsidRPr="00000000" w:rsidDel="00000000">
              <w:rPr>
                <w:rtl w:val="0"/>
              </w:rPr>
              <w:t xml:space="preserve">61.</w:t>
            </w:r>
            <w:r w:rsidR="00000000" w:rsidRPr="00000000" w:rsidDel="00000000">
              <w:rPr>
                <w:rtl w:val="0"/>
              </w:rPr>
              <w:t xml:space="preserve"> punktā minētā Ekonomikas ministrijas izveidotā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23.11.7.apakšpunktā noteiktajam un anotācijā sniegtajai informācijai 21.9.apakšpunktā minēto atbalstāmo darbību (atbalsts neformālās izglītības programmu apguvei) finansējuma saņēmējs nodrošinās iepirkuma procedūras ietvaros, līdz ar to izglītības iestādes būs pakalpojuma sniedzēji, nevis sadarbības partneri. Lūdzam precizēt MK noteikumu projekta 15.3.apakšpunktu, svītrojos atsauci uz 21.9.apakšpunktā minēto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​​​​​​informācija par projekta īstenošanu un publicitātes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darbības specifiku, lūgums darbības nosaukumu mainīt uz "komunikācijas un vizuālās identitātes prasību nodrošināšanas pasākumi par projekta īstenošanu" vai līdzīgu variantu, kur būtu skaidri norādīts, ka tie ir komunikācijas un vizuālās identitātes prasību nodrošināšanas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finansējuma saņēmēja  projekta vadības personāla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vienoto likmi attiecina un piemēro projekta iesnieguma budžeta tāmē tikai uz finansējuma saņēmēju (likmes aprēķinā ir iekļautas arī sadarbības partnera izmaksas), nevis uz sadarbības partneriem, aicinām šo apakšpunktu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personāla izmaksas šo noteikumu 21.1., 21.13., 21.14., 21.15. un  21.16.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transportlīdzekļu nomas vai transporta pakalpojumu pirkšanas izmaksas finansējuma saņēmēja projekta īstenošanas un vadības personālam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transportlīdzekļu nomas vai transporta pakalpojumu pirkšanas izmaksas nebūtu jāparedz arī MK noteikumu projekta 14.4.apakšpunktā minētā sadarbības partnera īstenošanas personālam 21.15.apakšpunktā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projekta informācijas un publicitātes pasākumu izmaksas atbilstoši normatīvajiem aktiem, kas nosaka kārtību, kādā Eiropas Savienības fondu vadībā iesaistītās institūcijas nodrošina šo fondu ieviešanu 2021.–2027.gada plānošanas periodā, šo noteikumu </w:t>
            </w:r>
            <w:r w:rsidR="00000000" w:rsidRPr="00000000" w:rsidDel="00000000">
              <w:rPr>
                <w:rtl w:val="0"/>
              </w:rPr>
              <w:t xml:space="preserve">21.16.</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daļu "projekta informācijas un publicitātes pasākumu izmaksas" aizvietot ar "projekta komunikācijas un vizuālās identitātes prasību nodrošināšanas pasākumu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56.punktu ar nosacījumiem, ka arī sadarbības partneris nodrošina interešu konflikta neesamību un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vienoto likmi attiecina un piemēro projekta iesnieguma budžeta tāmē tikai uz finansējuma saņēmēju ((likmes aprēķinā ir iekļautas arī sadarbības partnera izmaksas), nevis uz sadarbības partneriem, jo projekta iesniegumu iesniedz tikai finansējuma saņēmējs), aicinām informāciju anotācijas 1.3.sadaļā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projektā personāla izmaksas plāno kā vienu izmaksu pozīciju, piemērojot vienoto likmi 19 procentu apmērā no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politikai (turpmāk – regula Nr. 2021/1060) 55.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informāciju par 4.2.4.2.pasākuma sinerģiju ar ERASMUS+ programmas projektu "Nacionālie koordinatori dalības pieaugušo izglītībā veicināšanai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2024.gada marts, lūdzam precizēt šīs sadaļas tabulu un kā kārtējo gadu norādīt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18.03.2024.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18.03.2024.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