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ārējo tirgu apguves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tas ir lielais komersants, kas atbilst Komisijas 2014. gada 17. jūnija Regulas (ES) Nr.  651/2014, ar ko noteiktas atbalsta kategorijas atzīst par saderīgām ar iekšējo tirgu, piemērojot Līguma 107. un 108. pantu (turpmāk – Komisijas regula Nr.  651/2014), tajā skaitā valsts kapitālsabiedrības,  pašvaldības, Speciālo ekonomisko zonu (turpmāk - SEZ) pārvaldes, ostu pārvaldes,  plānošanas reģioni, zinātniskā institūcijas un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izstrādāto Noteikumu projektu “Noteikumi par atbalstu ārējo tirgu apguves aktivitātēm” (turpmāk – Noteikumu projekts) un vērš uzmanību, ka Anotācijā minēts, ka mērķa grupa ir lielie komersanti, osta, valsts kapitālsabiedrība, augstskola, SEZ pārvalde un pašvaldība. Tomēr Noteikumu projektā atbalsta saņēmējs tiek definēts kā lielais komersants (komersants, kas atbilst Komisijas regulai Nr. 651/2014) t.sk. valsts kapitālsabiedrības,  pašvaldības, Speciālo ekonomisko zonu, pārvaldes, ostu pārvaldes, plānošanas reģioni, zinātniskā institūcijas un augstskolas. Lūgums veikt salāgošanu starp Noteikumu projektu un anotāciju, lai neradītu neskaidrību par to, kas tieši var saņemt šo atbalstu un kā tiek definēti atbalsta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nav izvērtēti, kas var raisīt jautājumus par šī projekta izpētes dziļumu un elastīgumu. Būtu lietderīgi sniegt skaidrojumu par iemesliem, kāpēc alternatīvie risinājumi netika izvērtēti, vai arī iekļaut analīzi par tiem, lai nodrošinātu pilnīgāku un visaptverošāku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pēc Ministru kabineta noteikumu projekta apstiprināšanas aģentūra izstrādās kārtību (metodiku), kādā tiek veikta atbalsta saņēmēju atlase, atbalsta piešķiršana un kā tiek veikta piešķirtā atbalsta uzskaite. Lūdzam papildināt anotāciju ar konkrētu laika rāmi, kad tiks izstrādāta un publicēta šī kārtība, lai nodrošinātu skaidrību par izpildes termiņiem un procesa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ārējo tirgu apguves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vienoti salāgot izmantoto terminoloģiju, jo tiek lietoti gan termini “atbalsta saņēmējs”, gan “finansējuma saņēmējs”. Tāpat lūdzam pārskatīt un stilistiski precizēt Noteikumu projektu, piemēram, 11.7. apakšpunktā ir lieks punkts, un 17.2. apakšpunktā starp 22. panta teikumiem vienā daļā ir lietota atstarpe, bet otrā – nav. Vienlaikus vēršam uzmanību, ka Anotācijā norādām uz nepieciešamību veikt redakcionālus precizējumus, izmantojot vienotu terminoloģiju un stilistiski precizējot 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komersanti tiek norādīti kā galvenā mērķa grupa, bet netiek sniegti konkrēti skaitļi par to, cik liela daļa no uzņēmumiem varētu kvalificēties atbalsta saņemšanai un kā tas ietekmēs Latvijas ekonomiku kopumā. Ņemot vērā minēto, aicinām papildināt anotāciju ar detalizētiem vai vismaz provizoriskiem datiem un aprēķiniem par potenciālo atbalsta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09.05.2025.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09.05.2025.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