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ietverti pārejas noteikumi attiecībā uz Noteikumu projekta 4.1, 12.11.1, 12.11.2 apakšpunktā un 14. punktā paredzēto jauno pienākumu piemērošanas kārtību un termiņiem jau esošajiem atbalsta centriem un jau noslēgtajiem līgumiem ar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ir norādīts, ka atbalsta centri pirmās veselības apdrošināšanas kartes izsniegs mēneša laikā pēc veselības apdrošināšanas līguma noslēgšanas ar pakalpojuma sniedzēju, taču šāda kārtība un termiņš nav ietverti pašā Noteikumu projekta tekstā, bet minēti vienīgi anotācijā, kurai nav normatīva rakstura un kura personām nerada saistošas tiesības un pienākumus. Tāpat Noteikumu projektā nav noteikts, kādā kārtībā un termiņā atbalsta centriem jāpapildina jau spēkā esošie līgumi ar specializētajām audžuģimenēm (šo noteikumu 14. punkts) atbilstoši jaunajam regulējumam. Papildus norādām, ka Noteikumu projekta 12.11.2 apakšpunktā minētās kompensācijas apmērs un izmaksas kārtība ir atkarīga no vienlaikus izstrādātā tiesību akta projekta „Grozījumi Ministru kabineta 2018. gada 26. jūnija noteikumos Nr. 354 „Audžuģimenes noteikumi““ (23-TA-327), taču ne Noteikumu projektā, ne anotācijā nav norādīts, vai abu projektu spēkā stāšanās tiks savstarpēji saskaņota. Ja Noteikumu Nr. 355 grozījumi stātos spēkā ātrāk par Noteikumu Nr. 354 grozījumiem, atbalsta centram rastos pienākums nodrošināt apdrošināšanu un izmaksāt kompensāciju, bet trūktu tiesiskā pamata to apmēra un kārtības noteikšanai. Lūdzam papildināt Noteikumu projektu ar pārejas noteikumu punktu(-iem), kas noteiktu konkrētu kārtību un termiņus iepriekš minēto jautājumu risināšanai, kā arī skaidri norādīt abu tiesību aktu projektu savstarpēji saskaņotu spēkā stāšanās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Centrs var lemt par atbalsta centra statusa atcelšanu, ja atbalsta centrs nav novērsis konstatētos pārkāpumus vai neatbilstības centra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2</w:t>
            </w:r>
            <w:r w:rsidR="00000000" w:rsidRPr="00000000" w:rsidDel="00000000">
              <w:rPr>
                <w:rtl w:val="0"/>
              </w:rPr>
              <w:t xml:space="preserve"> apakšpunktā ietvertā tiesību norma centram piešķir plašu rīcības brīvību lemt par atbalsta centra statusa atcelšanu, taču Noteikumu projektā nav noteikts ne minimālais termiņš, kādā atbalsta centram jādod iespēja novērst konstatētos pārkāpumus vai neatbilstības, ne pienākums centram par konstatēto rakstveidā brīdināt atbalsta centru un noteikt tam saprātīgu novēršanas termiņu pirms lēmuma pieņemšanas par statusa atcelšanu. Lai nodrošinātu tiesiskās noteiktības un samērīguma principu ievērošanu, kā arī vienveidīgu normas piemērošanu praksē, lūdzam papildināt 8.</w:t>
            </w:r>
            <w:r w:rsidR="00000000" w:rsidRPr="00000000" w:rsidDel="00000000">
              <w:rPr>
                <w:vertAlign w:val="superscript"/>
                <w:rtl w:val="0"/>
              </w:rPr>
              <w:t xml:space="preserve">2</w:t>
            </w:r>
            <w:r w:rsidR="00000000" w:rsidRPr="00000000" w:rsidDel="00000000">
              <w:rPr>
                <w:rtl w:val="0"/>
              </w:rPr>
              <w:t xml:space="preserve"> apakšpunktu (vai attiecīgi 8.1 punktu) ar prasību centram rakstveidā paziņot atbalsta centram par konstatētajiem pārkāpumiem vai neatbilstībām, nosakot to novēršanai saprātīgu termiņu, kas nav mazāks par noteiktu minimālo skaitu darbdienu, un tikai pēc šī termiņa beigām, ja pārkāpumi vai neatbilstības nav novērstas, pieņemt lēmumu par statusa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iesniedz bāriņtiesā psihologa atzinumu, kas nepieciešams lēmuma pieņemšanai par laulātā (personas) piemērotību audžuģimenes statusa iegūšanai, laulāto (personas) raksturojumu un informāciju par mācību programmas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bāriņtiesu darbinieku asociācija aicina precizēt Noteikumu 12.4. un 12.5. 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26.06.2018. noteikumu Nr.354 “Audžuģimenes noteikumi” 22.punktam “Bāriņtiesa, ņemot vērā atbalsta centra sagatavoto psihologa atzinumu par laulāto (personas) piemērotību audžuģimenes statusa iegūšanai […]  pieņem lēmumu par audžuģimenes statusa piešķiršanu.”, abi minētie Noteikumu punkti būtu precizējami, teikuma daļu “kas nepieciešams lēmuma pieņemšanai par laulātā (personas) piemērotību audžuģimenes statusa iegūšanai”, aizstājot ar vārdiem “kas nepieciešams lēmuma pieņemšanai par audžuģimenes statusa piešķiršanu laulātajiem (personai)”, un teikuma daļu “kas nepieciešams lēmuma pieņemšanai par audžuģimenes piemērotību specializētās audžuģimenes statusa iegūšanai attiecīgajā specializācijā” aizstājot ar vārdiem “kas nepieciešams lēmuma pieņemšanai par specializētās audžuģimenes statusa piešķiršanu audžuģimenei attiecīgajā specializācijā”.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24.07.2026.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24.07.2026.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Atzinumi_25-TA-1872.docx</dc:title>
</cp:coreProperties>
</file>

<file path=docProps/custom.xml><?xml version="1.0" encoding="utf-8"?>
<Properties xmlns="http://schemas.openxmlformats.org/officeDocument/2006/custom-properties" xmlns:vt="http://schemas.openxmlformats.org/officeDocument/2006/docPropsVTypes"/>
</file>