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24-TA-2790: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un Šveices sadarbības programmas 2019. - 2029. gada perioda līdzfinansētās programmas “Bērnu vēža aprūpes attīstība Latvijā"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Programmas ietvaros Programmas apsaimniekotājs ir Veselības ministrija (turpmāk – Programmas apsaimniekotājs).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izvairoties no liekvārdības un ņemot vērā iepriekš atrunāto saīsinājumu ("Programma").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Programmas apsaimniekotājs ir Veselības ministrija (turpmāk – Programmas apsaimniekotājs)."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īstenotājs ir valsts sabiedrība ar ierobežotu atbildību "Bērnu klīniskā universitātes slimnīca" (turpmāk - Projekta īstenotājs).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ar noteikumu projekta 1. punktu, kas paredz noteikt iepriekš noteiktā projekta </w:t>
            </w:r>
            <w:r w:rsidR="00000000" w:rsidRPr="00000000" w:rsidDel="00000000">
              <w:rPr>
                <w:u w:val="single"/>
                <w:rtl w:val="0"/>
              </w:rPr>
              <w:t xml:space="preserve">potenciālo</w:t>
            </w:r>
            <w:r w:rsidR="00000000" w:rsidRPr="00000000" w:rsidDel="00000000">
              <w:rPr>
                <w:rtl w:val="0"/>
              </w:rPr>
              <w:t xml:space="preserve"> īstenotāju.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Programmas kopējais pieejamais finansējums ir  8 823 529 Šveices franku, tai skaitā Šveices Konfederācijas finansējums 85 procentu apmērā jeb 7 500 000 Šveices franku un nacionālais valsts budžeta līdzfinansējums 15 procentu apmērā jeb 1 323 529 Šveices franku. Programmas finansējuma ekvivalentu euro valūtā nosaka, ievērojot Valsts kases tīmekļvietnē publicētos ierosinājumus valūtas kursu līmeņiem, kas izmantojami saskaņā ar normatīvo aktu par budžeta pieprasījumu izstrādāšanas un iesniegšanas pamatprincipiem. Programmas kopējā pieejamā finansējuma ietvaros tiek plānots: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2009. gada 3. februāra noteikumu Nr. 108 "Normatīvo aktu projektu sagatavošanas noteikumi" 131. punktu, lūdzam svītrot atsauci uz Valsts kases tīmekļvietnē publicētajiem ierosinājumiem valūtas kursu līmeņiem, kas izmantojami saskaņā ar normatīvo aktu par budžeta pieprasījumu izstrādāšanas un iesniegšanas pamatprincipiem, nepieciešamības gadījumā pārņemot šos ierosinājumus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iekārtu un cita veida aprīkojuma (tai skaitā palīgmateriālu, reaģentu, specializētu darba vietu aprīkojuma, utml.) iegāde diagnostikas laboratorijas attīstībai (patoloģijas un molekulārās diagnostikas jomā), saskaņā ar Projekta iepirkumu sarakstu;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lūdzam svītrot atsauci uz projekta iepirkumu sarakstu, kā arī nepieciešamības gadījumā lūdzam skaidrot noteikumu projektā, vai minētais saraksts ir iesniedzams saskaņā projekta 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tās ir norādītas Programmas pārskatā un ir pamatotas ar izdevumus pamatojošiem dokumentiem.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"un ir pamatotas ar izdevumus pamatojošiem dokumentiem", ņemot vērā, ka šī prasība norādīta arī šo noteikumu 17. punkta ievaddaļā.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Programmas ietvaros Projektu īsteno saskaņā ar Projekta līgumu, bet ne ilgāk kā līdz 2029. gada 31. martam. Programmas apsaimniekotājs var ierosināt programmas vadības komitejā lemt par projekta izmaksu attiecināmības termiņa pagarinājumu, nepārsniedzot šo noteikumu 17. punktā noteikto izmaksu attiecināmības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izvērtēt un noteikumu projektā skaidrot, kādos gadījumos projekta izmaksu attiecināmības termiņš varētu tikt pagarināts.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Programmas ietvaros Projektu īsteno saskaņā ar Projekta līgumu, bet ne ilgāk kā līdz 2029. gada 31. martam. Programmas apsaimniekotājs var ierosināt programmas vadības komitejā lemt par projekta izmaksu attiecināmības termiņa pagarinājumu, nepārsniedzot šo noteikumu 17. punktā noteikto izmaksu attiecināmības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vārdus "Programmas ietvaros ", jo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maksa par finanšu darījumiem un citas tīri finansiālas izmaksas, izņemot izmaksas, kas saistītas ar kontiem, kurus pieprasa Finanšu ministrija vai maksājumu iestāde vai kuri noteikti piemērojamajos tiesību aktos, un Programmas līgumā vai Projekta līgumā noteikto finanšu pakalpojumu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noteikumu projekta 20.2. apakšpunktā ir saprotams ar piemērojamiem tiesību aktiem, nepieciešamības gadījumā svītrojot minēto atsauci. Norādām, ka atsauces noteikumu projektā, ņemot vērā tostarp indivīda pamattiesības zināt savas tiesības, ir pieļaujamas vienīgi uz tieši piemērojamiem ārējiem normatīvajiem aktiem (normatīvajiem līgumiem), kuri ir tulkoti latviešu valodā un publicēti oficiālajā izdevumā "Latvijas Vēstnesis".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Līgumā par Projekta īstenošanu iekļauj vismaz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nodrošināt konsekventu terminoloģiju attiecībā uz terminiem "Projekta līgums" un "Līgums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dokumentu kopums, kas apliecinās Programmas un Projekta rezultātu sasniegšanu atbilstoši šo noteikumu 9. un 10. punktā minētajiem rezultātiem;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Latvijas un Šveices sadarbības programmas 2019.—2029. gada perioda vadības likuma 13. panta pirmās daļas 5. punktam īstenotajam ir pienākums nodrošināt iepriekš noteiktā projekta, nevis programmas rezultātu saglabāšanu un ilgtspēju, tādēļ lūdzam izvērtēt un attiecīgi precizēt noteikumu projekta 21.4. apakšpunktu un nepieciešamības gadījumā citas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dokumentu kopums, kas apliecinās Programmas un Projekta rezultātu sasniegšanu atbilstoši šo noteikumu 9. un 10. punktā minētajiem rezultātiem;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vārdus "atbilstoši šo noteikumu 9. un 10. punktā minētajiem rezultātiem", jo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atbildības sadalījums un uzraudzības pasākumi;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21.6. apakšpunkts nedublē 21.1. apakšpunktā un arī 21.9. apakšpunktā ietverto regulējumu attiecībā uz uzraudzību, nepieciešamības gadījumā precizējot minētās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nosacījumus par normatīvajos aktos noteikto interešu konflikta, korupcijas un krāpšanas novēršanas un dubultā finansējuma novēršanu, kuriem iestājoties pret Projekta īstenotāju atbilstoši normatīvajiem aktiem par Latvijas un Šveices sadarbības programmas īstenošanu tiks piemērotas attiecīgas korektīvās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21.7. apakšpunktā norādīt konkrētu normatīvo aktu jomu ("nosacījumus par normatīvajos aktos noteikto interešu konflikta, korupcijas un krāpšanas novēršanas un dubultā finansējuma novēršanu"), kā arī lūdzam noteikumu projekta anotācijā skaidrot, kāds normatīvais (-ie) akts (-i) ir domāts ar "normatīvajiem aktiem par Latvijas un Šveices sadarbības programmas īstenošanu" vai precizēt konkrēto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Projekta īstenotāja pienākumu ievērot ANO Ģenerālās asamblejas 2018. gada 17. decembrī pieņemto rezolūciju “Pastiprināt centienus, lai nepieļautu un novērstu visu veidu vardarbību pret sievietēm un meitenēm: seksuālā uzmākšanās" (UNGA Rezolūcija A/RES/73/148) un ANO Ģenerālsekretāra 2003. gada 9. oktobra  biļetenu “Īpaši pasākumi aizsardzībai pret seksuālo izmantošanos un seksuālo vardarbību” (UNSG Biļetens ST/SGB/2003/13);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21.8. apakšpunktā ietvertās atsauces uz ANO Ģenerālās asamblejas rezolūciju un biļetenu, kas nav juridiski saistoši un nevar tikt padarīti juridiski saistoši privātpersonām. Nepieciešamības gadījumā lūdzam konkrētas minēto dokumentu prasības ietvert projekta līgumā vai pārņemt noteikumu projektā, noteikumu projekta anotācijā sniedzot attiecīgu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pilnveidot noteikumu projekta anotācijas 5. sadaļu, skaidrojot: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Noteikumu par Šveices sadarbības programmas otrā perioda īstenošanu noteiktām Eiropas Savienības dalībvalstīm ekonomisko un sociālo atšķirību mazināšanai Eiropas Savienībā (turpmāk - Donorvalsts noteikumi) 4.1. panta sestā daļa nav pārņemta noteikumu projekta 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Donorvalsts noteikumu 4.9., 4.12., 7.1. un 8.4. panta pārņemšanu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Donorvalsts noteikumu 6. panta pārņemšanu noteikumu projekta 13. un 15.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gadījumā, ja Donorvalsts noteikumu prasības tiek pārņemtas daļēji, - kā paredzēts pārņemt tās pilnībā, nosakot atbildīgo institūciju un termiņu, kādā izstrādājami tiesību akti, lai minētās prasības pārņemtu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konkrētu Latvijas Republikas valdības un Šveices federālās valdības ietvarlīguma par Šveices sadarbības programmas otrā perioda īstenošanu noteiktām ES dalībvalstīm ekonomisko un sociālo atšķirtību mazināšanai ES saistību (piem.,3. panta sestās daļas, 4. panta sestās daļas, pielikuma 3.2. sadaļas </w:t>
            </w:r>
            <w:r w:rsidR="00000000" w:rsidRPr="00000000" w:rsidDel="00000000">
              <w:rPr>
                <w:i w:val="1"/>
                <w:rtl w:val="0"/>
              </w:rPr>
              <w:t xml:space="preserve">Iepriekš noteikti kritēriji</w:t>
            </w:r>
            <w:r w:rsidR="00000000" w:rsidRPr="00000000" w:rsidDel="00000000">
              <w:rPr>
                <w:rtl w:val="0"/>
              </w:rPr>
              <w:t xml:space="preserve"> "xi" punkta </w:t>
            </w:r>
            <w:r w:rsidR="00000000" w:rsidRPr="00000000" w:rsidDel="00000000">
              <w:rPr>
                <w:i w:val="1"/>
                <w:rtl w:val="0"/>
              </w:rPr>
              <w:t xml:space="preserve">Veselība un sociālā aizsardzība</w:t>
            </w:r>
            <w:r w:rsidR="00000000" w:rsidRPr="00000000" w:rsidDel="00000000">
              <w:rPr>
                <w:rtl w:val="0"/>
              </w:rPr>
              <w:t xml:space="preserve">) izpildi ar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24-TA-2790</w:t>
    </w:r>
    <w:r>
      <w:br/>
    </w:r>
    <w:r w:rsidR="00000000" w:rsidRPr="00000000" w:rsidDel="00000000">
      <w:rPr>
        <w:rtl w:val="0"/>
      </w:rPr>
      <w:t xml:space="preserve">Izdrukāts 25.04.2025. 15.41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24-TA-2790</w:t>
    </w:r>
    <w:r>
      <w:br/>
    </w:r>
    <w:r w:rsidR="00000000" w:rsidRPr="00000000" w:rsidDel="00000000">
      <w:rPr>
        <w:rtl w:val="0"/>
      </w:rPr>
      <w:t xml:space="preserve">Izdrukāts 25.04.2025. 15.41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Atzinumi_24-TA-2790.docx</dc:title>
</cp:coreProperties>
</file>

<file path=docProps/custom.xml><?xml version="1.0" encoding="utf-8"?>
<Properties xmlns="http://schemas.openxmlformats.org/officeDocument/2006/custom-properties" xmlns:vt="http://schemas.openxmlformats.org/officeDocument/2006/docPropsVTypes"/>
</file>