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izgatavošanas un uzglabāšanas, kā arī recepšu izrakstīšanas un uzglabāšanas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sniegto ietekmes aprakstu fiziskajām un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iekļautas atsauces uz konkrētiem projekta punktiem, secināms, ka ir veikta detalizēta normu izvērtēšana attiecībā uz informācijas sniegšanas prasībām. Tomēr šobrīd ietekmes apraksts ir pārmērīgi detalizēts un strukturēts kā normu uzskaitījums, kas apgrūtina ietekmes būtības uztveri.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norādīts, ka projekts nepārveido administratīvo slogu, bet ievieš jaunas vai mainītas informācijas sniegšanas prasības, kas ir savstarpēji pretrunīgi apgalvojumi.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aprakstu formulēt kopsavilkuma veidā, skaidri raksturojot būtiskākās izmaiņas katrai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atsauces uz konkrētiem projekta punktiem, ja tās ir nepieciešamas, iekļaut strukturēti (piemēram, atsevišķā teikumā), nevis kā galveno ietekmes apraksta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 pretrunu starp apgalvojumu par administratīvā sloga neesamību un jaunu vai mainītu informācijas sniegšanas prasību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izvērst noteikumu projekta anotācijas 6.3.apakšpunktā norādīto pirmo teikumu. Minētais teikums ir mulsinošs, ņemot vērā minētajā punktā sniegto informāciju, ka tika nodrošinātas līdzdalības iespējas dažādām mērķgrupām.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08.19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08.19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