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24-TA-314: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28. jūnija noteikumos Nr. 419 "Noteikumi par informācijas apmaiņas un uzraudzības kārtību Iekšējā tirgus informācijas sistēmas ietvaros, informācijas apmaiņā iesaistīto iestāžu atbildību un Eiropas profesionālās kartes izdošanas kārtību"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Tiesību akta projekta izstrādes nepieciešamība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atsauces uz Eiropas Savienības tiesību aktiem noformēt atbilstoši noteikumu Nr. 108 4. nodaļai, atsaucē uz Eiropas Savienības tiesību aktu norādot šādu informāciju: institūcija (Komisija, Padome, Eiropas Parlaments), kas izdevusi attiecīgo tiesību aktu; tiesību akta pieņemšanas datums; veids (regula, direktīva, lēmums); numurs un nosaukums atbilstoši tiesību akta nosaukumam latviešu valodā EUR-Lex datu bāzē.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ievērot juridiskās tehnikas prasības arī attiecībā uz to, ka nepieciešamības gadījumā saīsinājumu atrunā pirmajā vietā juridiskajā tekstā, kur lietots attiecīgā normatīvā akta nosaukums, tādā veidā izvairoties no vispārinātām atsaucēm uz normatīvajiem aktiem, piemēram, "Eiropas Parlamenta un Padomes 2018. gada 2. oktobra Regula (ES) 2018/1724, ar ko izveido vienotu digitālo vārteju, lai sniegtu piekļuvi informācijai, procedūrām un palīdzības un problēmu risināšanas pakalpojumiem, un ar ko groza Regulu (ES) Nr. 1024/2012 (turpmāk - Regula Nr. 2018/1724).</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pārskatīt un nepieciešamības gadījumā konkretizēt anotācijas 1.3. apakšsadaļas risinājuma aprakstu ar skaidrojumu par to, ka Vides aizsardzības un reģionālās attīstības ministrija tiek noteikta par abu jauno Vienotās digitālās vārtejas moduļu koordinatoru ne tikai tāpēc, ka tā ir norādīts Eiropas Savienības tiesību aktu pārņemšanas un ieviešanas kontroles informācijas sistēmā (ESTAPIKS). Proti, iesakām uzsvērt, piemēram, to, ka Vides aizsardzības un reģionālās attīstības ministrijas noteikšana par IMI sistēmas jauno moduļu koordinatoru šķietami izriet arī no moduļu tiesiskā pamata. Vai norādīt uz atbilstību Vides aizsardzības un reģionālās attīstības ministrijas kompetenču sadalījumam saskaņā ar nacionālajiem normatīvajiem aktiem, uzsverot tiesību aktus, no kuriem izriet konkrētās kompetences.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anotācijas 5.3. apakšsadaļas saprotams, ka </w:t>
            </w:r>
            <w:r w:rsidR="00000000" w:rsidRPr="00000000" w:rsidDel="00000000">
              <w:rPr>
                <w:u w:val="single"/>
                <w:rtl w:val="0"/>
              </w:rPr>
              <w:t xml:space="preserve">noteikumu projekts izstrādāts saskaņā ar</w:t>
            </w:r>
            <w:r w:rsidR="00000000" w:rsidRPr="00000000" w:rsidDel="00000000">
              <w:rPr>
                <w:rtl w:val="0"/>
              </w:rPr>
              <w:t xml:space="preserve"> </w:t>
            </w:r>
            <w:r w:rsidR="00000000" w:rsidRPr="00000000" w:rsidDel="00000000">
              <w:rPr>
                <w:u w:val="single"/>
                <w:rtl w:val="0"/>
              </w:rPr>
              <w:t xml:space="preserve">Regulas 1024/2012 </w:t>
            </w:r>
            <w:r w:rsidR="00000000" w:rsidRPr="00000000" w:rsidDel="00000000">
              <w:rPr>
                <w:u w:val="single"/>
                <w:rtl w:val="0"/>
              </w:rPr>
              <w:t xml:space="preserve">28. pantu</w:t>
            </w:r>
            <w:r w:rsidR="00000000" w:rsidRPr="00000000" w:rsidDel="00000000">
              <w:rPr>
                <w:rtl w:val="0"/>
              </w:rPr>
              <w:t xml:space="preserve"> un tas šķietami paredz rīcības brīvību dalībvalstij veikt "</w:t>
            </w:r>
            <w:r w:rsidR="00000000" w:rsidRPr="00000000" w:rsidDel="00000000">
              <w:rPr>
                <w:i w:val="1"/>
                <w:rtl w:val="0"/>
              </w:rPr>
              <w:t xml:space="preserve">visus nepieciešamos pasākumus, lai nodrošinātu, ka to IMI dalībnieki efektīvi piemēro šo regulu</w:t>
            </w:r>
            <w:r w:rsidR="00000000" w:rsidRPr="00000000" w:rsidDel="00000000">
              <w:rPr>
                <w:rtl w:val="0"/>
              </w:rPr>
              <w:t xml:space="preserve">". Attiecīgi, lai nodrošinātu pilnīgu informāciju par noteikumu projekta atbilstību Eiropas Savienības tiesību aktiem un no tiem izrietošajām saistībām, iesakām precizēt anotācijas 5. sadaļas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Vienlaicīgi, skaidrojot tiesību akta projekta atbilstību Latvijas Republikas starptautiskajām saistībām, lūdzam ievērot, ka uz konkrēto noteikumu projektu un ar to saistītajiem procesiem tiek attiecinātas tikai regulas, tādēļ vārda "pārņemšana" vietā lietojams vārds "ieviešana".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24-TA-314</w:t>
    </w:r>
    <w:r>
      <w:br/>
    </w:r>
    <w:r w:rsidR="00000000" w:rsidRPr="00000000" w:rsidDel="00000000">
      <w:rPr>
        <w:rtl w:val="0"/>
      </w:rPr>
      <w:t xml:space="preserve">Izdrukāts 27.03.2024. 22.37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24-TA-314</w:t>
    </w:r>
    <w:r>
      <w:br/>
    </w:r>
    <w:r w:rsidR="00000000" w:rsidRPr="00000000" w:rsidDel="00000000">
      <w:rPr>
        <w:rtl w:val="0"/>
      </w:rPr>
      <w:t xml:space="preserve">Izdrukāts 27.03.2024. 22.37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Atzinumi_24-TA-314.docx</dc:title>
</cp:coreProperties>
</file>

<file path=docProps/custom.xml><?xml version="1.0" encoding="utf-8"?>
<Properties xmlns="http://schemas.openxmlformats.org/officeDocument/2006/custom-properties" xmlns:vt="http://schemas.openxmlformats.org/officeDocument/2006/docPropsVTypes"/>
</file>