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noteikumu projekta tvērumā nav iekļautas pašvaldības. Atbilstoši Nacionālās kiberdrošības likuma subjekta statusam, pašvaldības atbilst būtiskā pakalpojuma sniedzēja statusam, kā atvasināta publiskā persona. Jaunās likuma prasības uzliek virkni pienākumu visām pašvaldībām, tai skaitā izvērtēt arī būtisko pakalpojumu sniedzējus. Katrai pašvaldībai veikt šādu izvērtējumu pltaformām, kas kopīgas visām pašvaldībām ir dārgi un neprātīgi, ja to dara katra pašvaldība individuāli. Tāpat racionāli būtu visām pašvaldībām radīt kopēju dokumentācijas pakotni, kas izriet no kiberdrošības likuma prasībām. Tie ir tikai daži no piemēriem, kādam mērķim arī pašvaldībām nepieciešams finansējums kiberdrošības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20.03.2025.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20.03.2025.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