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piekritīgo transportlīdzekļu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atļaut nodot Viedās administrācijas un reģionālās attīstības ministrijai (Dabas aizsardzības pārvaldei) Ukrainai transportlīdzekļus saskaņā ar Ukrainas civiliedzīvotāju atbalsta likuma 11.panta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Ukrainas civiliedzīvotāju atbalsta likuma 11.panta pirmo daļu valstij piekritīgos transportlīdzekļus var nodot bez atlīdzības (ziedot) Ukrainas valdības īpašumā – vispārējam atbalstam Ukrainas sabiedrībai, piemērojot kārtību, kādā valsts kustamo mantu nodod bez atlīdzības ārvalstu valdību un starpvalstu organizāciju īpašumā. Attiecīgi vēršam uzmanību, ka</w:t>
            </w:r>
            <w:r w:rsidR="00000000" w:rsidRPr="00000000" w:rsidDel="00000000">
              <w:rPr>
                <w:u w:val="single"/>
                <w:rtl w:val="0"/>
              </w:rPr>
              <w:t xml:space="preserve"> minētā norma ir attiecināma tikai uz valstij piekritīgajiem transportlīdzekļiem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17.decembra noteikumu Nr.901 “Noteikumi par kompetentajām institūcijām un rīcību ar valstij piekritīgo mantu” 2.punktu valstij piekritīgās mantas pārņemšanu, glabāšanu, uzskaiti, realizāciju, nodošanu bez maksas, iznīcināšanu un realizācijas ieņēmumu ieskaitīšanu valsts un pašvaldību budžetā veic noteiktas institūcijas atbilstoši šo noteikumu 3.punktā minētajai kompetencei. Attiecīgi </w:t>
            </w:r>
            <w:r w:rsidR="00000000" w:rsidRPr="00000000" w:rsidDel="00000000">
              <w:rPr>
                <w:u w:val="single"/>
                <w:rtl w:val="0"/>
              </w:rPr>
              <w:t xml:space="preserve">Dabas aizsardzības pārvaldes kompetence ir noteikta par dzīvo kustamo mantu, kas atzīta par eksotiskiem un īpaši aizsargājamajiem dzīvniekiem un augiem atbilstoši Eiropas Padomes 1996.gada 9.decembra Regulai (EK) Nr.338/97 par savvaļas dzīvnieku un augu sugu aizsardzību, reglamentējot to tirdzniecību, kā arī par invazīviem dzīvniekiem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projekta sākotnējās ietekmes (ex-ante) novērtējuma ziņojumā (anotācijā) un Ministru kabineta rīkojuma projekta pielikumā sniegtās informācijas (t.i., norādīta mantas atlikusī vērtība un noprotams, ka tā ir bilances atlikusī vērtība) būtu saprotams, ka Ministru kabineta rīkojuma projekta pielikumā norādītie transportlīdzekļi ir Dabas aizsardzības pārvaldes bilancē (tātad būtu secināms, ka tā ir </w:t>
            </w:r>
            <w:r w:rsidR="00000000" w:rsidRPr="00000000" w:rsidDel="00000000">
              <w:rPr>
                <w:u w:val="single"/>
                <w:rtl w:val="0"/>
              </w:rPr>
              <w:t xml:space="preserve">valsts manta nevis valstij piekritīgā manta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kopumā pārskatīt un precizēt Ministru kabineta rīkojuma projektu un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kopumā pārskatīt un precizēt Ministru kabineta rīkojuma projekta anotācijā sniegto informāciju, ņemot vērā pie Ministru kabineta rīkojuma projekta izteikto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2006.gada 25.jūlija noteikumu Nr.618 "Kārtība, kādā valsts kustamo mantu nodod bez atlīdzības ārvalstu valdību un starpvalstu organizāciju īpašumā" 2.punktam Ministru kabineta rīkojuma projekta anotācijā iekļauj informāciju par nododamo valsts kustamo mantu, tās apjomu, </w:t>
            </w:r>
            <w:r w:rsidR="00000000" w:rsidRPr="00000000" w:rsidDel="00000000">
              <w:rPr>
                <w:u w:val="single"/>
                <w:rtl w:val="0"/>
              </w:rPr>
              <w:t xml:space="preserve">tehnisko stāvokli</w:t>
            </w:r>
            <w:r w:rsidR="00000000" w:rsidRPr="00000000" w:rsidDel="00000000">
              <w:rPr>
                <w:rtl w:val="0"/>
              </w:rPr>
              <w:t xml:space="preserve">, bilances vērtību un pamatojumu nodošanai ārvalstu valdību vai starpvalstu organizāciju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Pirmsšķietami pieņemot, ka Ukrainas valdības īpašumā plānots nodot valsts kustamo mantu, lūdzam papildināt anotāciju ar informāciju par valsts kustamās mantas tehnisko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25-TA-2102</w:t>
    </w:r>
    <w:r>
      <w:br/>
    </w:r>
    <w:r w:rsidR="00000000" w:rsidRPr="00000000" w:rsidDel="00000000">
      <w:rPr>
        <w:rtl w:val="0"/>
      </w:rPr>
      <w:t xml:space="preserve">Izdrukāts 01.10.2025.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25-TA-2102</w:t>
    </w:r>
    <w:r>
      <w:br/>
    </w:r>
    <w:r w:rsidR="00000000" w:rsidRPr="00000000" w:rsidDel="00000000">
      <w:rPr>
        <w:rtl w:val="0"/>
      </w:rPr>
      <w:t xml:space="preserve">Izdrukāts 01.10.2025.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Atzinumi_25-TA-2102.docx</dc:title>
</cp:coreProperties>
</file>

<file path=docProps/custom.xml><?xml version="1.0" encoding="utf-8"?>
<Properties xmlns="http://schemas.openxmlformats.org/officeDocument/2006/custom-properties" xmlns:vt="http://schemas.openxmlformats.org/officeDocument/2006/docPropsVTypes"/>
</file>