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tas ir tehniski piemēroti, ekonomiski un funkcionāli īstenojami, tad nedzīvojamas ēkas tiek aprīkotas ar pašregulējošām ierīcēm gaisa temperatūras, relatīvā gaisa mitruma un gaisa apmaiņas (cirkulācijas) plūsmas ātruma atsevišķai regulēšanai katrā telpā (vides kvalitātes monitoringa sistēma) vai, ja tas ir pamatoti, telpu grupā, ja tiek mainīta ēkas apkures sistēmas daļa, kas ražo siltumenerģiju (siltumģenerators).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noteikumu projektu, nosakot atbildīgo subjektu, kura kompetencē būtu uzraudzīt un izvērtēt noteikumu projekta 1. punktā minēto prasību izpildi. Tāpat nepieciešams skaidri definēt institūciju, kas veiks pasākumu tehniskā, ekonomiskā un funkcionālā pamatojuma izvērtēšanu, kā arī noteikt pašvaldību tiesības lēmumu pieņemšanas procesā izmantot to energopārvaldības sistēmas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tālāka virzība ir pieļaujama tikai pēc visaptveroša izmaksu novērtējuma veikšanas un konkrētu finansēšanas mehānismu definēšanas. Anotācijā būtu precizējami finanšu avoti, kas nodrošinās izvirzīto prasību praktisku ieviešanu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esošā ēku fonda tehnisko stāvokli, piemēram, viencauruļu apkures sistēmu un novecojušu radiatoru īpatsvaru, universāla prasību piemērošana visām ēku grupām var nebūt prioritāra un ekonomiski pamatota. Ierosinām izvērtēt iespēju diferencēt prasības vai paredzēt izņēmumus gadījumos, kad tehnisko uzlabojumu veikšana nesniedz proporcionālu energoefektivitātes ieguvumu attiecībā pret nepieciešamajām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Punkts ir formulēts ar vairākiem nosacījumiem (“ja tas ir tehniski, ekonomiski un funkcionāli īstenojami”), kas praksē rada iespēju izvairīties no iekštelpu temperatūras regulēšanas ieviešanas. Turklāt vienā punktā apvienotas atšķirīgas ēkas sistēmas – apkure un ventilācija. Šim punktam ir jāpasaka, ka viencauruļu apkures sistēmas nav efektīvas un ir nepieciešama to nomaiņa pret efektīvākām. Tas ir izdevīgi iedzīvotājiem un ēku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iekštelpu temperatūras individuālu regulēšanu kā obligātu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ventilācijas gaisa apmaiņas regulēšanu izdalīt atsevišķā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terminoloģiju, aizstājot jēdzienu “pašregulējošas ierīces” ar tehnoloģiski precīzāku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Mainot siltuma ģeneratoru nekādi nesanāks to attiecināt uz pārējo ēku.  Gaisa temperatūru regulēt ir samērā vienkārši ar termoregulatoriem pie radiatoriem. Gaisa mitrināšanai ir vajadzīgas iekārtas. Arī gaisa daudzuma regulēšanai vajag papildus iekārtās un pārbūvēt ventilācijas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 Ēkās nodrošina iekštelpu gaisa temperatūras regulēšanas iespēju katrā telpā vai telpu grupā, izmantojot automātiski vai attālināti vadāmas regulēšanas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Nedzīvojamām ēkām, ja tas ir tehniski piemēroti, ekonomiski un funkcionāli īstenojami, nodrošina automātisku apgaismojuma vadības ierīču uzstādīšanu.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ietvertā prasība nodrošināt automātisku apgaismojuma vadības ierīču uzstādīšanu nedzīvojamās ēkās ir definēta vispārīgi, neietverot izvērstu izvērtējumu par plānoto pasākumu izmaksu efektivitāti un faktisko enerģijas ietaupījumu dažādos ēku tipos. Bez šāda izvērtējuma nav iespējams objektīvi pamatot noteiktā regulējuma samērīgumu, lietderību un tā ietekmi uz dažādu kategoriju ēku īpašniekiem vai pārvaldniekiem.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Formulējums pieļauj interpretāciju par prasības nepiemērošanu, kā arī nav skaidri noteikts, kuros gadījumos prasība stājas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w:t>
            </w:r>
            <w:r w:rsidR="00000000" w:rsidRPr="00000000" w:rsidDel="00000000">
              <w:rPr>
                <w:i w:val="1"/>
                <w:vertAlign w:val="superscript"/>
                <w:rtl w:val="0"/>
              </w:rPr>
              <w:t xml:space="preserve">1</w:t>
            </w:r>
            <w:r w:rsidR="00000000" w:rsidRPr="00000000" w:rsidDel="00000000">
              <w:rPr>
                <w:i w:val="1"/>
                <w:rtl w:val="0"/>
              </w:rPr>
              <w:t xml:space="preserve">. Uzstādot jaunus apgaismes ķermeņus vai nomainot esošos apgaismes ķermeņus pret jauniem, obligāti uzstāda automātiskas apgaismojuma vadības sistēmas.”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noteiktās prasības attiecībā uz automātisku apgaismojuma vadības ierīču uzstādīšanu nedzīvojamās ēkās izpilda sākot no 2027. gada 31. decembra attiecībā uz ēkām, kuru apkures sistēmas, gaisa kondicionēšanas sistēmas, kombinētās telpu apkures un ventilācijas sistēmas vai kombinētās gaisa kondicionēšanas un ventilācijas sistēmas lietderīgā nominālā jauda pārsniedz 290 kilovatus, un no 2029. gada 31. decembra attiecībā uz ēkām, kuru minēto sistēmu lietderīgā nominālā jauda pārsniedz 70 kilovatus.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noteiktie termiņi nav sasaistīti ar finansējuma pieejamību un pašvaldību investīciju plānošanas cikliem. Prasību izpilde lielā mērā ir atkarīga no Eiropas Savienības fondu pieejamības, līdz ar to nepieciešama elastīgāka pieeja vai sasaistes mehānisms ar finansējuma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Kāpēc apgaismojuma vadības ierīces tiek saistītas ar apkures un ventilācijas ierīču jaudu? Ja tas attiecas uz apgaismojumu, tad tam būtu jābūt saistītam ar apgaismojuma ierīču jaudu. 70kW ir robeža, kad visām pašvaldības ēkām būs jāuzstāda vadības sistēmas. Jau ar vienu uzstādīt apgaismojuma vadība sistēmu ir pietiekoši daudz problēmu. Uzstādīšana ir dārga un ekspluatācijā vajag papildus datorprogrammu licences un uzturēt datoru, kas to sistēmu vada. Tas drīzāk rada zaudējumus nevis ietaupījumu nodokļu maksātājiem. Saprotu, ka tādas sistēmas prasa izbūvēt jaunbūvēm, kur tam var saskatīt ekonomisko pamatojumu kā muzejā vai lielveikalos.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papildināt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noteikto prasību izpildes termiņus vismaz par 3–5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ka tuvākajā periodā (piemēram, no 2027. gada) pilnā apjomā prasības attiecas tikai uz jaunbūvēm;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pakāpenisku ieviešanas grafiku, prioritāri uzlabojot ēkas ar zemāko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valsts līdzfinansējumu, izveidot mērķētas programmas Eiropas Savienības fondu ietvaros, kur pašvaldībām būtu iespējams apgūt finansējumu šo prasību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Publiskās personas iestādes ēkās nodrošina piemērotu saules enerģijas iekārtu uzstādīšanu, ja tas ir tehniski piemēroti, ekonomiski un funkcionāli īstenojami.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pirms šādu prasību noteikšanas nepieciešams veikt publisko ēku enerģijas patēriņa analīzi un prioritizāciju, nosakot: (1) ēkas ar augstāko enerģijas patēriņu, (2) ēkas ar zemāko energoefektivitāti, (3) ēkas ar lielāko lietotāju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pašvaldības ar ieviestu energopārvaldības sistēmu šobrīd jau veic šādu analīzi un plāno pasākumus, tādēļ lūdzam nodrošināt, ka regulējums ir saskaņots ar energopārvaldības sistēmu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daudzās ēkās energoefektivitātes pasākumi jau ir veikti, un papildu investīcijas (piemēram, saules paneļi) ne vienmēr ir ekonomiski pamatotas, kā arī nepieciešams izvērtēt kultūrvēsturisko ēku aizsardzības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problēma var izrādīties jumta nestspēja un plakano jumtu siltinājums un, lai pierādītu ekonomisko (ne)pamatojumu, būvkonstruktoram ir jāveic nestspējas aprēķini, kas arī ir maksas pakalpojums.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apsvērt, vai būtu jādefinē jēdziens “saules enerģijas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 pienākumu publiskās personas iestādes ēkās nodrošināt piemērotu saules enerģijas iekārtu uzstādīšanu izpilda līdz 2027. gada 31. decembrim attiecībā uz ēkām, kuru lietderīgā grīdas platība pārsniedz 2000 m</w:t>
            </w:r>
            <w:r w:rsidR="00000000" w:rsidRPr="00000000" w:rsidDel="00000000">
              <w:rPr>
                <w:vertAlign w:val="superscript"/>
                <w:rtl w:val="0"/>
              </w:rPr>
              <w:t xml:space="preserve">2</w:t>
            </w:r>
            <w:r w:rsidR="00000000" w:rsidRPr="00000000" w:rsidDel="00000000">
              <w:rPr>
                <w:rtl w:val="0"/>
              </w:rPr>
              <w:t xml:space="preserve">, līdz 2028. gada 31. decembrim – attiecībā uz ēkām, kuru lietderīgā grīdas platība pārsniedz 750 m</w:t>
            </w:r>
            <w:r w:rsidR="00000000" w:rsidRPr="00000000" w:rsidDel="00000000">
              <w:rPr>
                <w:vertAlign w:val="superscript"/>
                <w:rtl w:val="0"/>
              </w:rPr>
              <w:t xml:space="preserve">2</w:t>
            </w:r>
            <w:r w:rsidR="00000000" w:rsidRPr="00000000" w:rsidDel="00000000">
              <w:rPr>
                <w:rtl w:val="0"/>
              </w:rPr>
              <w:t xml:space="preserve">, un līdz 2030. gada 31. decembrim – attiecībā uz ēkām, kuru lietderīgā grīdas platība pārsniedz 250 m</w:t>
            </w:r>
            <w:r w:rsidR="00000000" w:rsidRPr="00000000" w:rsidDel="00000000">
              <w:rPr>
                <w:vertAlign w:val="superscript"/>
                <w:rtl w:val="0"/>
              </w:rPr>
              <w:t xml:space="preserve">2</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norādītās redakcijas, secinām, ka prasību ieviešanas pieeja balstīta uz ēku platību, nevis energoefektivitātes prioritātēm. Lūdzam apsvērt pāreju uz pieeju, kur primāri tiek identificētas neefektīvākās ēkas un investīcijas tiek koncentrētas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pašvaldībās ar ieviestu energopārvaldības sistēmu jau ir noteikti investīciju plāni, kas būtu ņemami vērā, paredzot izņēmumus vai elastību šo prasību piemērošanā. Tāpēc lūdzam grozījumos ietvert nosacījumu, ka uz pašvaldībām, kurās ir ieviesta energopārvaldības sistēma, šo noteikumu grozījumos ietvertās prasības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ierosinām visās pašvaldībās veikt visu pašvaldību iestāžu ēku revīziju, nosakot pašvaldības iestāžu ēku vidējo īpatnējo siltumenerģijas (ar laikapstākļu korekciju) un elektroenerģijas patēriņu, prasību ieviešanai liekot uzsvaru uz objektiem, kuros tas ir acīmredzami nepieciešams un ekonomiski pamatoti veikt energoefektivitātes paaugstināšanas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10.1. un 10.2. apakšpunktiem kopumā - prasības nav izpildāmas noteiktajos termiņos, nav ņemti vērā kultūrvēsturisko ēku ierobežojumi, nav skaidri definēti kritēriji “ekonomiskai pamatotībai”.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apvienot punktus un noteikt vienotu, reālistisku termiņu. Paredzēt izņēmumus vēsturiskām ēkām.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apvienotā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Publiskās personas iestāžu ēkās, izņemot kultūrvēsturiskos objektus, nodrošina piemērotu saules enerģijas iekārtu uzstādīšanu vai ēkas sagatavošanu saules enerģijas iekārtu uzstādīšanai (solar‑ready), ja tas ir tehniski un funkcionāli iespējams. Prasību izpilda līdz 2031.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jaunu punktu – fosilā kurināmā apkures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Direktīva (ES) 2024/1275 paredz pakāpenisku fosilā kurināmā apkures iekārtu izskaušanu un jau no 2025. gada aizliedz to stimulēšanu.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“Sākot ar 2029. gada 31. decembri, aizliegta jaunu fosilā kurināmā apkures un karstā ūdens sagatavošanas katlu uzstādīšana visos ēku tipos, izņemot gadījumus, ja tiek nodrošināts pārejas risinājums saskaņā ar nacionālo enerģētikas politiku.”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iekļaut jaunu punktu par “solar‑ready”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“Atjaunojot ēkas jumta segumu, nodrošina ēkas sagatavošanu saules enerģijas iekārtu uzstādīšanai, paredzot nesošās konstrukcijas, montāžas punktus un kabeļu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noteikumu projektu ar atsauci uz Direktīvu (ES) 2024/1275, nodrošinot normatīvā regulējuma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Skaidrs, konsekvents un tehniski pamatots regulējums ir būtisks priekšnoteikums ēku fonda dekarbonizācijas mērķu sasniegšanai līdz 2050.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tiešsaisti ar ēkas inženiertehnisko sistēmu un spēju veikt funkcijas neatkarīgi no inženiertehniskās sistēmas sastāvdaļu ražotāja;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definēta nodrošināmā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“11.3. savietojamību ar ēkas inženiertehniskajām sistēmām, izmantojot atvērtus komunikācijas protokolus un nodrošinot neatkarību no konkrēta iekārtu ražotāja.”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iekštelpu vides kvalitātes monitoringu.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“11.4. iekštelpu vides kvalitātes monitoringu, nodrošinot vismaz gaisa temperatūras, relatīvā mitruma, CO₂ koncentrācijas un, ja piemērojams, gaistošo organisko savienojumu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Līdz 2027. gada 1. janvārim nedzīvojamā ēkā ar vairāk nekā 20 autostāvvietām ierīko: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pieļauj uzlādes punktu faktisku neuzstādīšanu, kā arī neņem vērā ēku funkcionālo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skaidri nodalīt uzlādes punktus un kabeļu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velosipēdu stāvvietu skaitu noteikt elastīgi.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noteikto prasību izpildes termiņus vismaz par 3–5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ka tuvākajā periodā (piemēram, no 2027. gada) pilnā apjomā prasības attiecas tikai uz jaunbūvēm;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pakāpenisku ieviešanas grafiku, prioritāri uzlabojot ēkas ar zemāko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valsts līdzfinansējumu, izveidot mērķētas programmas Eiropas Savienības fondu ietvaros, kur pašvaldībām būtu iespējams apgūt finansējumu šo prasību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velosipēdu stāvvietas, kas veido vismaz 15 % no ēkas vidējās lietotāju kapacitātes vai 10 % no kopējās lietotāju kapacitātes, paredzot vietu arī lielāka izmēra velosipēdiem nekā standarta velosipēdi.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punkts būtu jāprecizē, jo pie skolām vajag vismaz 50% skolnieku kur pieslēgt velosipēdu. Pie administratīvajām ēkām 10% jau izskatās par daudz.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definēt ēku tipus, uz kuriem veloinfrastruktūras prasības neattiecas, un novērst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Individuālajiem siltuma maksas sadalītājiem un individuālajiem siltumenerģijas patēriņa skaitītājiem, kas uzstādīti pirms 2021. gada 1. janvāra un nav attālināti nolasāmi, līdz 2027. gada 1. janvārim nodrošina attālinātu nolasāmību vai tos aizstāj ar attālināti nolasāmiem individuāliem siltuma maksas sadalītājiem, individuāliem siltumenerģijas patēriņa skaitītājiem vai siltumenerģijas patēriņa noteikšanas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pagarināt noteikto prasību izpildes termiņus vismaz par 3–5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 ka tuvākajā periodā (piemēram, no 2027. gada) pilnā apjomā prasības attiecas tikai uz jaunbūvēm;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pakāpenisku ieviešanas grafiku, prioritāri uzlabojot ēkas ar zemāko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valsts līdzfinansējumu, izveidot mērķētas programmas Eiropas Savienības fondu ietvaros, kur pašvaldībām būtu iespējams apgūt finansējumu šo prasību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30.04.2026.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30.04.2026.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Atzinumi_26-TA-329.docx</dc:title>
</cp:coreProperties>
</file>

<file path=docProps/custom.xml><?xml version="1.0" encoding="utf-8"?>
<Properties xmlns="http://schemas.openxmlformats.org/officeDocument/2006/custom-properties" xmlns:vt="http://schemas.openxmlformats.org/officeDocument/2006/docPropsVTypes"/>
</file>