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rosina papildināt rīkojuma projektu ar jaunu punktu, kurā tiek noteikts, ka veicot koku ciršanu galvenajā cirtē </w:t>
            </w:r>
            <w:r w:rsidR="00000000" w:rsidRPr="00000000" w:rsidDel="00000000">
              <w:rPr>
                <w:u w:val="single"/>
                <w:rtl w:val="0"/>
              </w:rPr>
              <w:t xml:space="preserve">valsts mežos</w:t>
            </w:r>
            <w:r w:rsidR="00000000" w:rsidRPr="00000000" w:rsidDel="00000000">
              <w:rPr>
                <w:rtl w:val="0"/>
              </w:rPr>
              <w:t xml:space="preserve">, cirsmas netiek plānotas Eiropas Savienības nozīmes biotopos, tādējādi nodrošinot Latvijas Republikas iespējas pildīt saistības nodrošinot labvēlīgu aizsardzības stāvokli Eiropas Savienības nozīmes biotopiem un tiktu ievērots Meža likuma </w:t>
            </w:r>
            <w:r w:rsidR="00000000" w:rsidRPr="00000000" w:rsidDel="00000000">
              <w:rPr>
                <w:u w:val="single"/>
                <w:rtl w:val="0"/>
              </w:rPr>
              <w:t xml:space="preserve">mērķis</w:t>
            </w:r>
            <w:r w:rsidR="00000000" w:rsidRPr="00000000" w:rsidDel="00000000">
              <w:rPr>
                <w:rtl w:val="0"/>
              </w:rPr>
              <w:t xml:space="preserve">, kas noteikts 2.pantā - veicināt meža ekonomiski, </w:t>
            </w:r>
            <w:r w:rsidR="00000000" w:rsidRPr="00000000" w:rsidDel="00000000">
              <w:rPr>
                <w:u w:val="single"/>
                <w:rtl w:val="0"/>
              </w:rPr>
              <w:t xml:space="preserve">ekoloģiski un sociāli ilgtspējīgu apsaimniekošanu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uzskatām, ka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izziņas argumentā norādītājām, ka “Ņemot vērā to, ka galvenajai cirtei pieejamais apjoms vairākkārt pārsniedz galvenās cirtes maksimāli pieļaujamo apjomu, rīkojuma projekts neietekmēs Latvijas iespējas izpildīt saistības nodrošināt labvēlīgu aizsardzības stāvokli Eiropas Savienības nozīmes biotopiem”, jo gan iepriekšējā teikumā, gan anotācijā ir norādīts, ka biotopa aizsardzība ir meža īpašnieka brīva griba, kas nozīmē, ka meža īpašnieks (valsts) var arī nocirst visus šobrīd neaizsargātos ES nozīmes biotopus, apdraudot Latvijas saistību izpildi. Turklāt, VARAM vērš uzmanību, ka pret Latviju Eiropas Komisija ir ierosinājusi pārkāpuma procedūras lietu Nr.2019/2304, norādot, ka 5 sauszemes biotopu veidiem joprojām nav nodrošināta pietiekama aizsardzība, kas nozīmē, ka jau šobrīd Latvija nespēj izpildīt savas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rīkojuma projektam ir būtiska nozīme mežizstrādes plānošanai, komunikācijā, diskusijās, mežsaimnieciskās darbības (t.sk. infrastruktūras) ietekmes uz vidi novērtēšanā un nosacījumu ietekmes novēršanai/mazināšanā tādējādi, ka paredzētā darbība tiek pamatota kā nepieciešama rīkojuma (apjoma)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03.10.2024.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03.10.2024.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