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interešu konflikta novēršanu valsts amatpersonu darbībā””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8.1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Lēmumu par atteikšanos izsniegt atļauju amatu savienošanai pieņem un noformē Administratīvā procesa likumā noteiktajā kārtībā, norādot lēmuma detalizētu pamatojumu saskaņā ar šā panta piektās daļas 1. punktu un citu normatīvo aktu prasībām. Lēmumu atļaut savienot valsts amatpersonas amatu ar citu amatu pieņem un noformē Administratīvā procesa likumā noteiktajā kārtībā, izvērtējot iesniegumā minēto pamatojumu un norādot lēmuma detalizētu pamatojumu saskaņā ar šā panta piektās daļas 1. punktu un citu normatīvo aktu prasībām. Lēmumu reģistrācijas kārtību nosaka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interešu konflikta novēršanu valsts amatpersonu darbībā”” (turpmāk - likumprojekts) 6. pantā iekļautā likuma “Par interešu konflikta novēršanu valsts amatpersonu darbībā” 8.</w:t>
            </w:r>
            <w:r w:rsidR="00000000" w:rsidRPr="00000000" w:rsidDel="00000000">
              <w:rPr>
                <w:vertAlign w:val="superscript"/>
                <w:rtl w:val="0"/>
              </w:rPr>
              <w:t xml:space="preserve">1</w:t>
            </w:r>
            <w:r w:rsidR="00000000" w:rsidRPr="00000000" w:rsidDel="00000000">
              <w:rPr>
                <w:rtl w:val="0"/>
              </w:rPr>
              <w:t xml:space="preserve"> panta precizētā septītā daļa paredz atteikties no iespējas lēmumu atļaut savienot valsts amatpersonas amatu ar citu amatu pieņemt rezolūcijas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pamatots: "[..] Ja līdz šim šī izvērtēšana varēja būt formāla un lēmums tikt pieņemts rezolūcijas formā, tad ar likuma grozījumiem tiek piedāvāts noteikt, ka turpmāk lēmumu atļaut savienot valsts amatpersonas amatu ar citu amatu pieņem un noformē Administratīvā procesa likumā noteiktajā kārtībā, izvērtējot iesniegumā minēto pamatojumu un norādot lēmuma detalizētu pamatojumu saskaņā ar šā panta piektās daļas 1. punktu un citu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6.pantā iekļautās likuma “Par interešu konflikta novēršanu valsts amatpersonu darbībā” 8.1 panta septītās daļas prasība norādīt lēmumā detalizētu pamatojumu, dublē Administratīvā procesa likuma 67. panta otrās daļas 6.punktu, kas noteic, ka rakstveida administratīvais akts citastarp ietver arī tā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anotācijā kā tā izstrādes pamatojums ir norādīts Valsts kontroles revīzijas ziņojums "Valsts pārvalde – "quo vadis"? Valsts pārvaldes reformā plānotais un sasniegtais", proti, likumprojekts nepieciešams, lai novērstu praksi valsts amatpersonām ieņemt vadošus amatus (padomes un valdes locekļu amatu) valsts un pašvaldību kapitālsabiedrībās, speciālajās ekonomiskajās zonās un brīvostās. No anotācijā sniegtā skaidrojuma nav gūstama pārliecība par to, ka iepriekš minētā mērķa sasniegšanu sekmēs atteikšanās no lēmuma atļaut valsts amatpersonai amatu savienot ar citu amatu izdošana rezolūcijas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izslēgt no likumprojekta regulējumu, kas paredz atteikties no lēmuma atļaut valsts amatpersonai amatu savienot ar citu amatu pieņemšanas rezolūcijas formā, jo šāda regulējuma izmaiņām nav norādīts attiecīgs izvērtējums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procesa likuma 69. panta otrajā daļā jau pašlaik paredzēts, ka, ja administratīvais akts izdots citādi, nevis rakstveidā vai ja tas ir izdots rakstveidā, bet neatbilst šā likuma 67.panta prasībām, procesa dalībniekam ir tiesības viena mēneša laikā pieprasīt, lai iestāde to noformē rakstveidā atbilstoši minētā panta prasībām. Iestāde šo administratīvo aktu noformē 14 dienu laikā pēc attiecīgā pieprasījuma saņemšanas un paziņo to adresātam Paziņošanas likumā noteiktajā kārtībā. Apstrīdēšanas termiņš sākas pēc šā akta vai atteikuma paziņošanas.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7.panta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domes priekšsēdētājs un viņa vietnieks, kurš ieņem algotu amatu pašvaldības domē, pašvaldības izpilddirektors un viņa vietnieks, pašvaldības struktūrvienību vadītāji un to vietnieki, pašvaldības iestāžu vadītāji, vadītāja vietnieki, pašvaldības iestāžu struktūrvienību vadītāji un viņu vietnieki, pagasta vai pilsētas pārvaldes vadītājs novada pašvaldībā, publiskas personas iestādes vadītājs un viņa vietnieks, publiskas personas iestādes struktūrvienību vadītāji un to vietnieki,  Valsts prezidenta kancelejas vadītājs un viņa vietnieks, Saeimas Administrācijas ģenerālsekretārs, papildus šā likuma 6. panta ceturtajā daļā noteiktajam var savienot valsts amatpersonas amatu tikai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amatu arodbiedrībā, biedrībā vai nodibinājumā, politiskajā partijā, politisko partiju apvienībā vai reliģiskajā organizācijā, ja šā panta septītajā 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šādiem amatiem, ja tas nerada interešu konfliktu un ir saņemta tās valsts amatpersonas vai koleģiālās institūcijas rakstveida atļauja, kura attiecīgo personu iecēlusi, ievēlējusi vai apstiprinājusi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citu amatu publiskas personas institūcijā, izņemot valdes locekļa amatu likuma 1. panta 8. punkta "c" apakšpunktā minētajā kapitālsabiedrībā un kapitālsabiedrībā, kurā publiska persona vai publiskas personas kapitālsabiedrība ir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padomes locekļa amatu likuma 1. panta 8. punkta "c" apakšpunktā minētajā kapitālsabiedrībā un kapitālsabiedrībā, kurā publiska persona vai publiskas personas kapitālsabiedrība ir dalībnieks, ja atbilstoši Publiskas personas kapitāla daļu un kapitālsabiedrību pārvaldības likuma 31.panta devītajai daļai un 37.panta panta devītajai daļai šīs daļas ievaddaļā minētā amatpersona tiek iecelta padomes locekļa amatā uz pagaidu termiņu, kas nav ilgāks par deviņiem mēnešiem. Iecelt atkārtoti padomes locekļa amatā uz pagaidu termiņu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eksperta (konsultanta) darbu, kura izpildes vieta ir citas valsts administrācija, starptautiskā organizācija vai tās pārstāvniecība (misija);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atbilstoši Ministru kabineta lēmumam Latvijas valsts pārstāvja amatu starptautiskā organizācijā.”.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iekļaut pamatojumu projekta 3.punktam, proti, papildinot likumu ar 7.panta ceturtās daļas d.punktu.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8.1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Lēmumu par atteikšanos izsniegt atļauju amatu savienošanai pieņem un noformē Administratīvā procesa likumā noteiktajā kārtībā, norādot lēmuma detalizētu pamatojumu saskaņā ar šā panta piektās daļas 1. punktu un citu normatīvo aktu prasībām. Lēmumu atļaut savienot valsts amatpersonas amatu ar citu amatu pieņem un noformē Administratīvā procesa likumā noteiktajā kārtībā, izvērtējot iesniegumā minēto pamatojumu un norādot lēmuma detalizētu pamatojumu saskaņā ar šā panta piektās daļas 1. punktu un citu normatīvo aktu prasībām. Lēmumu reģistrācijas kārtību nosaka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8.</w:t>
            </w:r>
            <w:r w:rsidR="00000000" w:rsidRPr="00000000" w:rsidDel="00000000">
              <w:rPr>
                <w:vertAlign w:val="superscript"/>
                <w:rtl w:val="0"/>
              </w:rPr>
              <w:t xml:space="preserve">1</w:t>
            </w:r>
            <w:r w:rsidR="00000000" w:rsidRPr="00000000" w:rsidDel="00000000">
              <w:rPr>
                <w:rtl w:val="0"/>
              </w:rPr>
              <w:t xml:space="preserve"> pantu, lai norma būtu skaidra un saprotama.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27.12.2023.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27.12.2023.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