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Šo noteikumu 62.</w:t>
            </w:r>
            <w:r w:rsidR="00000000" w:rsidRPr="00000000" w:rsidDel="00000000">
              <w:rPr>
                <w:vertAlign w:val="superscript"/>
                <w:rtl w:val="0"/>
              </w:rPr>
              <w:t xml:space="preserve">1</w:t>
            </w:r>
            <w:r w:rsidR="00000000" w:rsidRPr="00000000" w:rsidDel="00000000">
              <w:rPr>
                <w:rtl w:val="0"/>
              </w:rPr>
              <w:t xml:space="preserve"> un 67.</w:t>
            </w:r>
            <w:r w:rsidR="00000000" w:rsidRPr="00000000" w:rsidDel="00000000">
              <w:rPr>
                <w:vertAlign w:val="superscript"/>
                <w:rtl w:val="0"/>
              </w:rPr>
              <w:t xml:space="preserve">1</w:t>
            </w:r>
            <w:r w:rsidR="00000000" w:rsidRPr="00000000" w:rsidDel="00000000">
              <w:rPr>
                <w:rtl w:val="0"/>
              </w:rPr>
              <w:t xml:space="preserve"> punktu, kā arī grozījumus šo noteikumu 89. punktā piemēro darbības programmas pasākumiem, kas tiek īstenoti,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projekta 60. punktā paredzēto Ministru kabineta 2023. gada 25. aprīļa noteikumu Nr.203 “Ražotāju organizāciju atzīšanas un atbalsta piešķiršanas kārtība” (turpmāk – noteikumi) 182. punktu – pārejas regulējumu par grozījumu noteikumu 89. punktā piemērošanu ar 2026. gada 1. janvāri. Saistībā ar pārejas noteikumu veidošanu atkārtoti norādām, ka noteikumu 89. punkts ir šobrīd spēkā esoša un piemērojama norma, tādējādi pārejas regulējumu nevar veidot ar formālu atsauci uz konkrētu punktu, bet kopā ar punkta norādi jābūt grozījumu skaidrojumam. Turklāt noteikumu 89. punkts ir par intervenču īstenošanas komandējumu izdevumiem, nevis darbības programmu pasākumiem. Vēršam uzmanību, ka grozītām normām var veidot pārejas regulējumu, piemēram, par šādas normas atliktu piemērošanu, bet tādā gadījumā pārejas regulējums jāveido precīzi, identificējot visu piemērojamo jauno regulējumu. Papildus norādām, ka minētais regulējums skars fiziskas personas materiālās intereses, tādēļ tas jāveido precīzi.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04.11.2025.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04.11.2025.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Atzinumi_25-TA-1162.docx</dc:title>
</cp:coreProperties>
</file>

<file path=docProps/custom.xml><?xml version="1.0" encoding="utf-8"?>
<Properties xmlns="http://schemas.openxmlformats.org/officeDocument/2006/custom-properties" xmlns:vt="http://schemas.openxmlformats.org/officeDocument/2006/docPropsVTypes"/>
</file>