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E4C63" w14:textId="579DA093" w:rsidR="00D35C95" w:rsidRPr="00E62092" w:rsidRDefault="00D35C95" w:rsidP="00D35C95">
      <w:bookmarkStart w:id="0" w:name="_GoBack"/>
      <w:bookmarkEnd w:id="0"/>
      <w:r w:rsidRPr="00E62092">
        <w:t xml:space="preserve">Uz </w:t>
      </w:r>
      <w:r w:rsidRPr="00E62092">
        <w:rPr>
          <w:szCs w:val="24"/>
        </w:rPr>
        <w:t>0</w:t>
      </w:r>
      <w:r w:rsidR="00EF19F2">
        <w:rPr>
          <w:szCs w:val="24"/>
        </w:rPr>
        <w:t>5</w:t>
      </w:r>
      <w:r w:rsidRPr="00E62092">
        <w:rPr>
          <w:szCs w:val="24"/>
        </w:rPr>
        <w:t xml:space="preserve">.03.2021. </w:t>
      </w:r>
      <w:r w:rsidRPr="00E62092">
        <w:rPr>
          <w:szCs w:val="24"/>
        </w:rPr>
        <w:tab/>
        <w:t xml:space="preserve">VSS prot. Nr. 9 </w:t>
      </w:r>
      <w:r w:rsidR="00E62092" w:rsidRPr="00E62092">
        <w:rPr>
          <w:szCs w:val="24"/>
        </w:rPr>
        <w:t>4</w:t>
      </w:r>
      <w:r w:rsidRPr="00E62092">
        <w:rPr>
          <w:szCs w:val="24"/>
        </w:rPr>
        <w:t>.§ (</w:t>
      </w:r>
      <w:r w:rsidR="00E62092" w:rsidRPr="00E62092">
        <w:rPr>
          <w:szCs w:val="24"/>
        </w:rPr>
        <w:t>VSS-154</w:t>
      </w:r>
      <w:r w:rsidRPr="00E62092">
        <w:rPr>
          <w:szCs w:val="24"/>
        </w:rPr>
        <w:t>)</w:t>
      </w:r>
    </w:p>
    <w:p w14:paraId="5E7C1C27" w14:textId="35FFA8E0" w:rsidR="002E1474" w:rsidRDefault="002E1474" w:rsidP="00726E06"/>
    <w:p w14:paraId="2BFE6248" w14:textId="77777777" w:rsidR="005A410D" w:rsidRPr="00E62092" w:rsidRDefault="005A410D" w:rsidP="00726E06"/>
    <w:p w14:paraId="45879F78" w14:textId="7EFD89BE" w:rsidR="000D6929" w:rsidRPr="00E62092" w:rsidRDefault="000D6929" w:rsidP="00726E06"/>
    <w:p w14:paraId="4F3F5A13" w14:textId="5B756C70" w:rsidR="005E0ADA" w:rsidRDefault="00E62092" w:rsidP="005E0ADA">
      <w:pPr>
        <w:jc w:val="right"/>
        <w:rPr>
          <w:b/>
          <w:bCs/>
        </w:rPr>
      </w:pPr>
      <w:r w:rsidRPr="00E62092">
        <w:rPr>
          <w:b/>
          <w:bCs/>
        </w:rPr>
        <w:t xml:space="preserve">Finanšu </w:t>
      </w:r>
      <w:r w:rsidR="00D35C95" w:rsidRPr="00E62092">
        <w:rPr>
          <w:b/>
          <w:bCs/>
        </w:rPr>
        <w:t>ministrijai</w:t>
      </w:r>
    </w:p>
    <w:p w14:paraId="42CDF5AE" w14:textId="77777777" w:rsidR="005E0ADA" w:rsidRPr="005E0ADA" w:rsidRDefault="005E0ADA" w:rsidP="005E0ADA">
      <w:pPr>
        <w:jc w:val="right"/>
        <w:rPr>
          <w:b/>
          <w:bCs/>
        </w:rPr>
      </w:pPr>
    </w:p>
    <w:p w14:paraId="7F63C3B4" w14:textId="3157BB17" w:rsidR="005A410D" w:rsidRDefault="00A26363" w:rsidP="004540E0">
      <w:pPr>
        <w:pStyle w:val="Footer"/>
        <w:spacing w:after="120"/>
        <w:ind w:right="4832"/>
        <w:jc w:val="left"/>
        <w:rPr>
          <w:i/>
          <w:iCs/>
        </w:rPr>
      </w:pPr>
      <w:r w:rsidRPr="00E62092">
        <w:rPr>
          <w:i/>
          <w:iCs/>
        </w:rPr>
        <w:t xml:space="preserve">Atzinums par </w:t>
      </w:r>
      <w:r w:rsidR="00E62092" w:rsidRPr="00E62092">
        <w:rPr>
          <w:i/>
          <w:iCs/>
        </w:rPr>
        <w:t>likumprojekt</w:t>
      </w:r>
      <w:r w:rsidR="003071F1">
        <w:rPr>
          <w:i/>
          <w:iCs/>
        </w:rPr>
        <w:t>u</w:t>
      </w:r>
      <w:r w:rsidR="00E62092" w:rsidRPr="00E62092">
        <w:rPr>
          <w:i/>
          <w:iCs/>
        </w:rPr>
        <w:t xml:space="preserve"> “Grozījumi Finanšu instrumentu tirgus likumā” </w:t>
      </w:r>
    </w:p>
    <w:p w14:paraId="06D45A6C" w14:textId="58A935DB" w:rsidR="005E0ADA" w:rsidRDefault="00D35C95" w:rsidP="005E0ADA">
      <w:pPr>
        <w:pStyle w:val="NormalWeb"/>
        <w:spacing w:before="0" w:after="0"/>
        <w:ind w:right="13" w:firstLine="720"/>
        <w:jc w:val="both"/>
      </w:pPr>
      <w:r w:rsidRPr="00EE4474">
        <w:t xml:space="preserve">Tieslietu ministrija ir </w:t>
      </w:r>
      <w:r w:rsidRPr="00E62092">
        <w:t xml:space="preserve">izskatījusi </w:t>
      </w:r>
      <w:r w:rsidR="00E62092" w:rsidRPr="00E62092">
        <w:t>Finanšu ministrijas</w:t>
      </w:r>
      <w:r w:rsidRPr="00E62092">
        <w:t xml:space="preserve"> sagatavoto </w:t>
      </w:r>
      <w:r w:rsidR="00E62092" w:rsidRPr="00E62092">
        <w:t>liku</w:t>
      </w:r>
      <w:r w:rsidR="00E62092">
        <w:t>m</w:t>
      </w:r>
      <w:r w:rsidR="00E62092" w:rsidRPr="00E62092">
        <w:t>projektu</w:t>
      </w:r>
      <w:r w:rsidR="00A26363" w:rsidRPr="00E62092">
        <w:t xml:space="preserve"> </w:t>
      </w:r>
      <w:r w:rsidR="00E62092" w:rsidRPr="00E62092">
        <w:t xml:space="preserve">“Grozījumi </w:t>
      </w:r>
      <w:r w:rsidR="00E62092" w:rsidRPr="004540E0">
        <w:t xml:space="preserve">Finanšu instrumentu tirgus likumā” </w:t>
      </w:r>
      <w:r w:rsidRPr="004540E0">
        <w:t xml:space="preserve">(turpmāk – </w:t>
      </w:r>
      <w:r w:rsidR="00E62092" w:rsidRPr="004540E0">
        <w:t>Likumprojekts</w:t>
      </w:r>
      <w:r w:rsidRPr="004540E0">
        <w:t>) un</w:t>
      </w:r>
      <w:r w:rsidR="00A3463E">
        <w:t xml:space="preserve"> </w:t>
      </w:r>
      <w:r w:rsidR="00A3463E" w:rsidRPr="004540E0">
        <w:t xml:space="preserve">tam pievienoto </w:t>
      </w:r>
      <w:r w:rsidR="00A3463E">
        <w:t>Likumprojekta sākotnējās ietekmes novērtējuma ziņojumu (turpmāk – Anotācija)</w:t>
      </w:r>
      <w:r w:rsidR="00A3463E" w:rsidRPr="004540E0">
        <w:t xml:space="preserve"> un atbalsta to tālāku virzību, vienlaikus izsakot </w:t>
      </w:r>
      <w:r w:rsidR="00861E0C">
        <w:t xml:space="preserve">šādus </w:t>
      </w:r>
      <w:r w:rsidR="00A3463E" w:rsidRPr="004540E0">
        <w:t>iebildumu</w:t>
      </w:r>
      <w:r w:rsidR="00861E0C">
        <w:t>s</w:t>
      </w:r>
      <w:r w:rsidR="0013711F">
        <w:t>:</w:t>
      </w:r>
    </w:p>
    <w:p w14:paraId="6E8403D9" w14:textId="77777777" w:rsidR="005A410D" w:rsidRPr="0013711F" w:rsidRDefault="005A410D" w:rsidP="005E0ADA">
      <w:pPr>
        <w:pStyle w:val="NormalWeb"/>
        <w:spacing w:before="0" w:after="0"/>
        <w:ind w:right="13" w:firstLine="720"/>
        <w:jc w:val="both"/>
      </w:pPr>
    </w:p>
    <w:p w14:paraId="38EE4BFD" w14:textId="005E0F26" w:rsidR="00E55922" w:rsidRDefault="001A1818" w:rsidP="00E55922">
      <w:pPr>
        <w:pStyle w:val="BodyTextIndent"/>
        <w:numPr>
          <w:ilvl w:val="0"/>
          <w:numId w:val="20"/>
        </w:numPr>
        <w:spacing w:after="0"/>
        <w:ind w:left="0" w:firstLine="426"/>
        <w:jc w:val="both"/>
        <w:rPr>
          <w:rFonts w:ascii="Times New Roman" w:eastAsia="Calibri" w:hAnsi="Times New Roman" w:cs="Times New Roman"/>
          <w:color w:val="000000"/>
          <w:sz w:val="24"/>
          <w:szCs w:val="24"/>
        </w:rPr>
      </w:pPr>
      <w:r w:rsidRPr="0013711F">
        <w:rPr>
          <w:rFonts w:ascii="Times New Roman" w:eastAsia="Calibri" w:hAnsi="Times New Roman" w:cs="Times New Roman"/>
          <w:color w:val="000000"/>
          <w:sz w:val="24"/>
          <w:szCs w:val="24"/>
        </w:rPr>
        <w:t>Likumprojekta 23.</w:t>
      </w:r>
      <w:r w:rsidR="005778E6">
        <w:rPr>
          <w:rFonts w:ascii="Times New Roman" w:eastAsia="Calibri" w:hAnsi="Times New Roman" w:cs="Times New Roman"/>
          <w:color w:val="000000"/>
          <w:sz w:val="24"/>
          <w:szCs w:val="24"/>
        </w:rPr>
        <w:t xml:space="preserve"> </w:t>
      </w:r>
      <w:r w:rsidRPr="0013711F">
        <w:rPr>
          <w:rFonts w:ascii="Times New Roman" w:eastAsia="Calibri" w:hAnsi="Times New Roman" w:cs="Times New Roman"/>
          <w:color w:val="000000"/>
          <w:sz w:val="24"/>
          <w:szCs w:val="24"/>
        </w:rPr>
        <w:t>pants papildina</w:t>
      </w:r>
      <w:r w:rsidR="0076687E">
        <w:rPr>
          <w:rFonts w:ascii="Times New Roman" w:eastAsia="Calibri" w:hAnsi="Times New Roman" w:cs="Times New Roman"/>
          <w:color w:val="000000"/>
          <w:sz w:val="24"/>
          <w:szCs w:val="24"/>
        </w:rPr>
        <w:t xml:space="preserve"> </w:t>
      </w:r>
      <w:r w:rsidRPr="0013711F">
        <w:rPr>
          <w:rFonts w:ascii="Times New Roman" w:eastAsia="Calibri" w:hAnsi="Times New Roman" w:cs="Times New Roman"/>
          <w:color w:val="000000"/>
          <w:sz w:val="24"/>
          <w:szCs w:val="24"/>
        </w:rPr>
        <w:t>Finanšu instrumentu tirgus</w:t>
      </w:r>
      <w:r w:rsidR="005778E6">
        <w:rPr>
          <w:rFonts w:ascii="Times New Roman" w:eastAsia="Calibri" w:hAnsi="Times New Roman" w:cs="Times New Roman"/>
          <w:color w:val="000000"/>
          <w:sz w:val="24"/>
          <w:szCs w:val="24"/>
        </w:rPr>
        <w:t xml:space="preserve"> </w:t>
      </w:r>
      <w:r w:rsidRPr="0013711F">
        <w:rPr>
          <w:rFonts w:ascii="Times New Roman" w:eastAsia="Calibri" w:hAnsi="Times New Roman" w:cs="Times New Roman"/>
          <w:color w:val="000000"/>
          <w:sz w:val="24"/>
          <w:szCs w:val="24"/>
        </w:rPr>
        <w:t>likuma</w:t>
      </w:r>
      <w:r w:rsidR="005778E6" w:rsidRPr="005778E6">
        <w:rPr>
          <w:rFonts w:ascii="Times New Roman" w:eastAsia="Calibri" w:hAnsi="Times New Roman" w:cs="Times New Roman"/>
          <w:color w:val="000000"/>
          <w:sz w:val="18"/>
          <w:szCs w:val="18"/>
        </w:rPr>
        <w:t xml:space="preserve"> </w:t>
      </w:r>
      <w:r w:rsidRPr="0013711F">
        <w:rPr>
          <w:rFonts w:ascii="Times New Roman" w:eastAsia="Calibri" w:hAnsi="Times New Roman" w:cs="Times New Roman"/>
          <w:color w:val="000000"/>
          <w:sz w:val="24"/>
          <w:szCs w:val="24"/>
        </w:rPr>
        <w:t xml:space="preserve">(turpmāk – </w:t>
      </w:r>
      <w:r>
        <w:rPr>
          <w:rFonts w:ascii="Times New Roman" w:eastAsia="Calibri" w:hAnsi="Times New Roman" w:cs="Times New Roman"/>
          <w:color w:val="000000"/>
          <w:sz w:val="24"/>
          <w:szCs w:val="24"/>
        </w:rPr>
        <w:t>L</w:t>
      </w:r>
      <w:r w:rsidRPr="0013711F">
        <w:rPr>
          <w:rFonts w:ascii="Times New Roman" w:eastAsia="Calibri" w:hAnsi="Times New Roman" w:cs="Times New Roman"/>
          <w:color w:val="000000"/>
          <w:sz w:val="24"/>
          <w:szCs w:val="24"/>
        </w:rPr>
        <w:t>ikums)</w:t>
      </w:r>
      <w:r>
        <w:rPr>
          <w:rFonts w:ascii="Times New Roman" w:eastAsia="Calibri" w:hAnsi="Times New Roman" w:cs="Times New Roman"/>
          <w:color w:val="000000"/>
          <w:sz w:val="24"/>
          <w:szCs w:val="24"/>
        </w:rPr>
        <w:t xml:space="preserve"> </w:t>
      </w:r>
      <w:r w:rsidR="008C3D99" w:rsidRPr="0013711F">
        <w:rPr>
          <w:rFonts w:ascii="Times New Roman" w:eastAsia="Calibri" w:hAnsi="Times New Roman" w:cs="Times New Roman"/>
          <w:color w:val="000000"/>
          <w:sz w:val="24"/>
          <w:szCs w:val="24"/>
        </w:rPr>
        <w:t>131. pantu ar 7.</w:t>
      </w:r>
      <w:r w:rsidR="008C3D99" w:rsidRPr="00E55922">
        <w:rPr>
          <w:rFonts w:ascii="Times New Roman" w:eastAsia="Calibri" w:hAnsi="Times New Roman" w:cs="Times New Roman"/>
          <w:color w:val="000000"/>
          <w:sz w:val="24"/>
          <w:szCs w:val="24"/>
          <w:vertAlign w:val="superscript"/>
        </w:rPr>
        <w:t>1</w:t>
      </w:r>
      <w:r w:rsidR="005A410D">
        <w:rPr>
          <w:rFonts w:ascii="Times New Roman" w:eastAsia="Calibri" w:hAnsi="Times New Roman" w:cs="Times New Roman"/>
          <w:color w:val="000000"/>
          <w:sz w:val="24"/>
          <w:szCs w:val="24"/>
        </w:rPr>
        <w:t xml:space="preserve"> </w:t>
      </w:r>
      <w:r w:rsidR="008C3D99" w:rsidRPr="0013711F">
        <w:rPr>
          <w:rFonts w:ascii="Times New Roman" w:eastAsia="Calibri" w:hAnsi="Times New Roman" w:cs="Times New Roman"/>
          <w:color w:val="000000"/>
          <w:sz w:val="24"/>
          <w:szCs w:val="24"/>
        </w:rPr>
        <w:t xml:space="preserve">daļu, kas paredz, ka "zvērinātam tiesu izpildītājam, kurš veic piespiedu izpildes līdzekļu un normatīvajos aktos noteiktajā kārtībā nolēmumu izpildi, ziņas sniedzamas par fiziskās personas, tai skaitā mantojuma atstājēja mantojuma lietā, kontu atlikumiem". </w:t>
      </w:r>
    </w:p>
    <w:p w14:paraId="00C4DA40" w14:textId="175DB795" w:rsidR="00F25E51" w:rsidRDefault="00F25E51" w:rsidP="00E55922">
      <w:pPr>
        <w:pStyle w:val="BodyTextIndent"/>
        <w:spacing w:after="0"/>
        <w:ind w:left="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Tieslietu ministrijas ieskatā</w:t>
      </w:r>
      <w:r w:rsidRPr="00E55922">
        <w:rPr>
          <w:rFonts w:ascii="Times New Roman" w:hAnsi="Times New Roman" w:cs="Times New Roman"/>
          <w:color w:val="000000"/>
          <w:sz w:val="24"/>
          <w:szCs w:val="24"/>
        </w:rPr>
        <w:t xml:space="preserve"> Likumprojekta 23.</w:t>
      </w:r>
      <w:r w:rsidR="005A410D">
        <w:rPr>
          <w:rFonts w:ascii="Times New Roman" w:hAnsi="Times New Roman" w:cs="Times New Roman"/>
          <w:color w:val="000000"/>
          <w:sz w:val="24"/>
          <w:szCs w:val="24"/>
        </w:rPr>
        <w:t xml:space="preserve"> </w:t>
      </w:r>
      <w:r w:rsidRPr="00E55922">
        <w:rPr>
          <w:rFonts w:ascii="Times New Roman" w:hAnsi="Times New Roman" w:cs="Times New Roman"/>
          <w:color w:val="000000"/>
          <w:sz w:val="24"/>
          <w:szCs w:val="24"/>
        </w:rPr>
        <w:t>pantā attiecībā uz piedziņas lietām informācijas pieejamība ir nepamatoti sašaurināta līdz ziņām par </w:t>
      </w:r>
      <w:r w:rsidRPr="00E55922">
        <w:rPr>
          <w:rFonts w:ascii="Times New Roman" w:hAnsi="Times New Roman" w:cs="Times New Roman"/>
          <w:color w:val="000000"/>
          <w:sz w:val="24"/>
          <w:szCs w:val="24"/>
          <w:shd w:val="clear" w:color="auto" w:fill="FFFFFF"/>
        </w:rPr>
        <w:t xml:space="preserve">fizisko personu finanšu instrumentu kontiem. </w:t>
      </w:r>
    </w:p>
    <w:p w14:paraId="6A8C22C4" w14:textId="7A4382BA" w:rsidR="005A410D" w:rsidRDefault="00EF19F2" w:rsidP="00E55922">
      <w:pPr>
        <w:pStyle w:val="BodyTextIndent"/>
        <w:spacing w:after="0"/>
        <w:ind w:left="0"/>
        <w:jc w:val="both"/>
        <w:rPr>
          <w:rFonts w:ascii="Times New Roman" w:hAnsi="Times New Roman" w:cs="Times New Roman"/>
          <w:color w:val="000000"/>
          <w:sz w:val="24"/>
          <w:szCs w:val="24"/>
          <w:shd w:val="clear" w:color="auto" w:fill="FFFFFF"/>
        </w:rPr>
      </w:pPr>
      <w:r w:rsidRPr="00E55922">
        <w:rPr>
          <w:rFonts w:ascii="Times New Roman" w:hAnsi="Times New Roman" w:cs="Times New Roman"/>
          <w:color w:val="000000"/>
          <w:sz w:val="24"/>
          <w:szCs w:val="24"/>
        </w:rPr>
        <w:t>L</w:t>
      </w:r>
      <w:r w:rsidR="008C3D99" w:rsidRPr="00E55922">
        <w:rPr>
          <w:rFonts w:ascii="Times New Roman" w:hAnsi="Times New Roman" w:cs="Times New Roman"/>
          <w:color w:val="000000"/>
          <w:sz w:val="24"/>
          <w:szCs w:val="24"/>
        </w:rPr>
        <w:t>ikumprojekta 23. pant</w:t>
      </w:r>
      <w:r w:rsidR="00091E5D">
        <w:rPr>
          <w:rFonts w:ascii="Times New Roman" w:hAnsi="Times New Roman" w:cs="Times New Roman"/>
          <w:color w:val="000000"/>
          <w:sz w:val="24"/>
          <w:szCs w:val="24"/>
        </w:rPr>
        <w:t xml:space="preserve">u būtu nepieciešams precizēt, paplašinot subjektu loku, </w:t>
      </w:r>
      <w:r w:rsidR="00F25E51">
        <w:rPr>
          <w:rFonts w:ascii="Times New Roman" w:hAnsi="Times New Roman" w:cs="Times New Roman"/>
          <w:color w:val="000000"/>
          <w:sz w:val="24"/>
          <w:szCs w:val="24"/>
        </w:rPr>
        <w:t>par kuru sniedzama</w:t>
      </w:r>
      <w:r w:rsidR="001026C8">
        <w:rPr>
          <w:rFonts w:ascii="Times New Roman" w:hAnsi="Times New Roman" w:cs="Times New Roman"/>
          <w:color w:val="000000"/>
          <w:sz w:val="24"/>
          <w:szCs w:val="24"/>
        </w:rPr>
        <w:t>s ziņas nolēmuma piespiedu izpildes ietvaros</w:t>
      </w:r>
      <w:r w:rsidR="00091E5D">
        <w:rPr>
          <w:rFonts w:ascii="Times New Roman" w:hAnsi="Times New Roman" w:cs="Times New Roman"/>
          <w:color w:val="000000"/>
          <w:sz w:val="24"/>
          <w:szCs w:val="24"/>
        </w:rPr>
        <w:t xml:space="preserve">, proti, fiziskās un juridiskās personas. </w:t>
      </w:r>
      <w:r w:rsidR="001026C8">
        <w:rPr>
          <w:rFonts w:ascii="Times New Roman" w:hAnsi="Times New Roman" w:cs="Times New Roman"/>
          <w:color w:val="000000"/>
          <w:sz w:val="24"/>
          <w:szCs w:val="24"/>
        </w:rPr>
        <w:t xml:space="preserve">Lai nodrošinātu normas skaidrāku uztveramību, </w:t>
      </w:r>
      <w:r w:rsidR="00091E5D">
        <w:rPr>
          <w:rFonts w:ascii="Times New Roman" w:hAnsi="Times New Roman" w:cs="Times New Roman"/>
          <w:color w:val="000000"/>
          <w:sz w:val="24"/>
          <w:szCs w:val="24"/>
        </w:rPr>
        <w:t>Likumprojekta 23.</w:t>
      </w:r>
      <w:r w:rsidR="001026C8">
        <w:rPr>
          <w:rFonts w:ascii="Times New Roman" w:hAnsi="Times New Roman" w:cs="Times New Roman"/>
          <w:color w:val="000000"/>
          <w:sz w:val="24"/>
          <w:szCs w:val="24"/>
        </w:rPr>
        <w:t xml:space="preserve"> </w:t>
      </w:r>
      <w:r w:rsidR="00091E5D">
        <w:rPr>
          <w:rFonts w:ascii="Times New Roman" w:hAnsi="Times New Roman" w:cs="Times New Roman"/>
          <w:color w:val="000000"/>
          <w:sz w:val="24"/>
          <w:szCs w:val="24"/>
        </w:rPr>
        <w:t>pantā būtu precizējama</w:t>
      </w:r>
      <w:r w:rsidR="005A410D">
        <w:rPr>
          <w:rFonts w:ascii="Times New Roman" w:hAnsi="Times New Roman" w:cs="Times New Roman"/>
          <w:color w:val="000000"/>
          <w:sz w:val="24"/>
          <w:szCs w:val="24"/>
        </w:rPr>
        <w:t xml:space="preserve"> arī</w:t>
      </w:r>
      <w:r w:rsidR="00091E5D">
        <w:rPr>
          <w:rFonts w:ascii="Times New Roman" w:hAnsi="Times New Roman" w:cs="Times New Roman"/>
          <w:color w:val="000000"/>
          <w:sz w:val="24"/>
          <w:szCs w:val="24"/>
        </w:rPr>
        <w:t xml:space="preserve"> lietotā terminoloģija</w:t>
      </w:r>
      <w:r w:rsidR="001026C8">
        <w:rPr>
          <w:rFonts w:ascii="Times New Roman" w:hAnsi="Times New Roman" w:cs="Times New Roman"/>
          <w:color w:val="000000"/>
          <w:sz w:val="24"/>
          <w:szCs w:val="24"/>
        </w:rPr>
        <w:t xml:space="preserve"> attiecībā par finanšu instrumentu kontiem</w:t>
      </w:r>
      <w:r w:rsidR="005A410D">
        <w:rPr>
          <w:rFonts w:ascii="Times New Roman" w:hAnsi="Times New Roman" w:cs="Times New Roman"/>
          <w:color w:val="000000"/>
          <w:sz w:val="24"/>
          <w:szCs w:val="24"/>
        </w:rPr>
        <w:t xml:space="preserve">. </w:t>
      </w:r>
      <w:r w:rsidR="008C3D99" w:rsidRPr="00E55922">
        <w:rPr>
          <w:rFonts w:ascii="Times New Roman" w:hAnsi="Times New Roman" w:cs="Times New Roman"/>
          <w:color w:val="000000"/>
          <w:sz w:val="24"/>
          <w:szCs w:val="24"/>
          <w:shd w:val="clear" w:color="auto" w:fill="FFFFFF"/>
        </w:rPr>
        <w:t>Norādām, ka informācija par to, vai parādniekam pieder finanšu instrumenti, nepieciešama, lai izpildītu Civilprocesa</w:t>
      </w:r>
      <w:r w:rsidR="005A410D">
        <w:rPr>
          <w:rFonts w:ascii="Times New Roman" w:hAnsi="Times New Roman" w:cs="Times New Roman"/>
          <w:color w:val="000000"/>
          <w:sz w:val="18"/>
          <w:szCs w:val="18"/>
          <w:shd w:val="clear" w:color="auto" w:fill="FFFFFF"/>
        </w:rPr>
        <w:br/>
      </w:r>
      <w:r w:rsidR="008C3D99" w:rsidRPr="00E55922">
        <w:rPr>
          <w:rFonts w:ascii="Times New Roman" w:hAnsi="Times New Roman" w:cs="Times New Roman"/>
          <w:color w:val="000000"/>
          <w:sz w:val="24"/>
          <w:szCs w:val="24"/>
          <w:shd w:val="clear" w:color="auto" w:fill="FFFFFF"/>
        </w:rPr>
        <w:t>likuma</w:t>
      </w:r>
      <w:r w:rsidR="005A410D" w:rsidRPr="005A410D">
        <w:rPr>
          <w:rFonts w:ascii="Times New Roman" w:hAnsi="Times New Roman" w:cs="Times New Roman"/>
          <w:color w:val="000000"/>
          <w:sz w:val="24"/>
          <w:szCs w:val="24"/>
          <w:shd w:val="clear" w:color="auto" w:fill="FFFFFF"/>
        </w:rPr>
        <w:t xml:space="preserve"> </w:t>
      </w:r>
      <w:r w:rsidR="008C3D99" w:rsidRPr="00E55922">
        <w:rPr>
          <w:rFonts w:ascii="Times New Roman" w:hAnsi="Times New Roman" w:cs="Times New Roman"/>
          <w:color w:val="000000"/>
          <w:sz w:val="24"/>
          <w:szCs w:val="24"/>
          <w:shd w:val="clear" w:color="auto" w:fill="FFFFFF"/>
        </w:rPr>
        <w:t>580.</w:t>
      </w:r>
      <w:r w:rsidR="008C3D99" w:rsidRPr="00E55922">
        <w:rPr>
          <w:rFonts w:ascii="Times New Roman" w:hAnsi="Times New Roman" w:cs="Times New Roman"/>
          <w:color w:val="000000"/>
          <w:sz w:val="24"/>
          <w:szCs w:val="24"/>
          <w:shd w:val="clear" w:color="auto" w:fill="FFFFFF"/>
          <w:vertAlign w:val="superscript"/>
        </w:rPr>
        <w:t>6</w:t>
      </w:r>
      <w:r w:rsidR="008C3D99" w:rsidRPr="00E55922">
        <w:rPr>
          <w:rFonts w:ascii="Times New Roman" w:hAnsi="Times New Roman" w:cs="Times New Roman"/>
          <w:color w:val="000000"/>
          <w:sz w:val="24"/>
          <w:szCs w:val="24"/>
          <w:shd w:val="clear" w:color="auto" w:fill="FFFFFF"/>
        </w:rPr>
        <w:t xml:space="preserve"> panta prasības un izpildu lietas ietvaros apķīlātu vai vērstu piedziņu uz parādniekam piederošiem finanšu instrumentiem. Minētais attiecināms gan uz gadījumiem, kad izpildu lietvedība uzsākta par piedziņu no parādnieka </w:t>
      </w:r>
      <w:r w:rsidR="005A410D">
        <w:rPr>
          <w:rFonts w:ascii="Times New Roman" w:hAnsi="Times New Roman" w:cs="Times New Roman"/>
          <w:color w:val="000000"/>
          <w:sz w:val="24"/>
          <w:szCs w:val="24"/>
          <w:shd w:val="clear" w:color="auto" w:fill="FFFFFF"/>
        </w:rPr>
        <w:t xml:space="preserve">gan </w:t>
      </w:r>
      <w:r w:rsidR="008C3D99" w:rsidRPr="00E55922">
        <w:rPr>
          <w:rFonts w:ascii="Times New Roman" w:hAnsi="Times New Roman" w:cs="Times New Roman"/>
          <w:color w:val="000000"/>
          <w:sz w:val="24"/>
          <w:szCs w:val="24"/>
          <w:shd w:val="clear" w:color="auto" w:fill="FFFFFF"/>
        </w:rPr>
        <w:t xml:space="preserve">fiziskas personas, gan juridiskas personas. </w:t>
      </w:r>
      <w:r w:rsidR="001026C8">
        <w:rPr>
          <w:rFonts w:ascii="Times New Roman" w:hAnsi="Times New Roman" w:cs="Times New Roman"/>
          <w:color w:val="000000"/>
          <w:sz w:val="24"/>
          <w:szCs w:val="24"/>
          <w:shd w:val="clear" w:color="auto" w:fill="FFFFFF"/>
        </w:rPr>
        <w:t>Ņemot vērām</w:t>
      </w:r>
      <w:r w:rsidR="008C3D99" w:rsidRPr="00E55922">
        <w:rPr>
          <w:rFonts w:ascii="Times New Roman" w:hAnsi="Times New Roman" w:cs="Times New Roman"/>
          <w:color w:val="000000"/>
          <w:sz w:val="24"/>
          <w:szCs w:val="24"/>
          <w:shd w:val="clear" w:color="auto" w:fill="FFFFFF"/>
        </w:rPr>
        <w:t xml:space="preserve"> minēto, aicinām </w:t>
      </w:r>
      <w:r w:rsidRPr="00E55922">
        <w:rPr>
          <w:rFonts w:ascii="Times New Roman" w:hAnsi="Times New Roman" w:cs="Times New Roman"/>
          <w:color w:val="000000"/>
          <w:sz w:val="24"/>
          <w:szCs w:val="24"/>
          <w:shd w:val="clear" w:color="auto" w:fill="FFFFFF"/>
        </w:rPr>
        <w:t>L</w:t>
      </w:r>
      <w:r w:rsidR="008C3D99" w:rsidRPr="00E55922">
        <w:rPr>
          <w:rFonts w:ascii="Times New Roman" w:hAnsi="Times New Roman" w:cs="Times New Roman"/>
          <w:color w:val="000000"/>
          <w:sz w:val="24"/>
          <w:szCs w:val="24"/>
          <w:shd w:val="clear" w:color="auto" w:fill="FFFFFF"/>
        </w:rPr>
        <w:t>ikumprojekta 23. pantu izteikt šādā redakcijā:</w:t>
      </w:r>
    </w:p>
    <w:p w14:paraId="0AFB0FA9" w14:textId="77777777" w:rsidR="005A410D" w:rsidRPr="005A410D" w:rsidRDefault="005A410D" w:rsidP="00E55922">
      <w:pPr>
        <w:pStyle w:val="BodyTextIndent"/>
        <w:spacing w:after="0"/>
        <w:ind w:left="0"/>
        <w:jc w:val="both"/>
        <w:rPr>
          <w:rFonts w:ascii="Times New Roman" w:hAnsi="Times New Roman" w:cs="Times New Roman"/>
          <w:color w:val="000000"/>
          <w:sz w:val="24"/>
          <w:szCs w:val="24"/>
          <w:shd w:val="clear" w:color="auto" w:fill="FFFFFF"/>
        </w:rPr>
      </w:pPr>
    </w:p>
    <w:p w14:paraId="058EF87E" w14:textId="77777777" w:rsidR="008C3D99" w:rsidRPr="006E26C6" w:rsidRDefault="008C3D99" w:rsidP="008C3D99">
      <w:pPr>
        <w:pStyle w:val="xmsonormal"/>
        <w:shd w:val="clear" w:color="auto" w:fill="FFFFFF"/>
        <w:ind w:firstLine="720"/>
        <w:jc w:val="both"/>
        <w:rPr>
          <w:rFonts w:ascii="Times New Roman" w:hAnsi="Times New Roman" w:cs="Times New Roman"/>
          <w:color w:val="201F1E"/>
          <w:sz w:val="24"/>
          <w:szCs w:val="24"/>
        </w:rPr>
      </w:pPr>
      <w:r w:rsidRPr="006E26C6">
        <w:rPr>
          <w:rFonts w:ascii="Times New Roman" w:hAnsi="Times New Roman" w:cs="Times New Roman"/>
          <w:i/>
          <w:iCs/>
          <w:color w:val="000000"/>
          <w:sz w:val="24"/>
          <w:szCs w:val="24"/>
        </w:rPr>
        <w:t>23. Papildināt 131.pantu ar 7.</w:t>
      </w:r>
      <w:r w:rsidRPr="006E26C6">
        <w:rPr>
          <w:rFonts w:ascii="Times New Roman" w:hAnsi="Times New Roman" w:cs="Times New Roman"/>
          <w:i/>
          <w:iCs/>
          <w:color w:val="000000"/>
          <w:sz w:val="24"/>
          <w:szCs w:val="24"/>
          <w:vertAlign w:val="superscript"/>
        </w:rPr>
        <w:t>1</w:t>
      </w:r>
      <w:r w:rsidRPr="006E26C6">
        <w:rPr>
          <w:rFonts w:ascii="Times New Roman" w:hAnsi="Times New Roman" w:cs="Times New Roman"/>
          <w:i/>
          <w:iCs/>
          <w:color w:val="000000"/>
          <w:sz w:val="24"/>
          <w:szCs w:val="24"/>
        </w:rPr>
        <w:t> daļu šādā redakcijā: </w:t>
      </w:r>
    </w:p>
    <w:p w14:paraId="489B2018" w14:textId="022B2119" w:rsidR="005A410D" w:rsidRDefault="008C3D99" w:rsidP="005A410D">
      <w:pPr>
        <w:pStyle w:val="xmsonormal"/>
        <w:shd w:val="clear" w:color="auto" w:fill="FFFFFF"/>
        <w:ind w:firstLine="720"/>
        <w:jc w:val="both"/>
        <w:rPr>
          <w:rFonts w:ascii="Times New Roman" w:hAnsi="Times New Roman" w:cs="Times New Roman"/>
          <w:i/>
          <w:iCs/>
          <w:color w:val="000000"/>
          <w:sz w:val="24"/>
          <w:szCs w:val="24"/>
        </w:rPr>
      </w:pPr>
      <w:r w:rsidRPr="006E26C6">
        <w:rPr>
          <w:rFonts w:ascii="Times New Roman" w:hAnsi="Times New Roman" w:cs="Times New Roman"/>
          <w:i/>
          <w:iCs/>
          <w:color w:val="000000"/>
          <w:sz w:val="24"/>
          <w:szCs w:val="24"/>
        </w:rPr>
        <w:t>“(7</w:t>
      </w:r>
      <w:r w:rsidRPr="006E26C6">
        <w:rPr>
          <w:rFonts w:ascii="Times New Roman" w:hAnsi="Times New Roman" w:cs="Times New Roman"/>
          <w:i/>
          <w:iCs/>
          <w:color w:val="000000"/>
          <w:sz w:val="24"/>
          <w:szCs w:val="24"/>
          <w:vertAlign w:val="superscript"/>
        </w:rPr>
        <w:t>1</w:t>
      </w:r>
      <w:r w:rsidRPr="006E26C6">
        <w:rPr>
          <w:rFonts w:ascii="Times New Roman" w:hAnsi="Times New Roman" w:cs="Times New Roman"/>
          <w:i/>
          <w:iCs/>
          <w:color w:val="000000"/>
          <w:sz w:val="24"/>
          <w:szCs w:val="24"/>
        </w:rPr>
        <w:t xml:space="preserve">) </w:t>
      </w:r>
      <w:r w:rsidRPr="006E26C6">
        <w:rPr>
          <w:rFonts w:ascii="Times New Roman" w:hAnsi="Times New Roman" w:cs="Times New Roman"/>
          <w:i/>
          <w:iCs/>
          <w:color w:val="000000"/>
          <w:sz w:val="24"/>
          <w:szCs w:val="24"/>
          <w:shd w:val="clear" w:color="auto" w:fill="FFFFFF"/>
        </w:rPr>
        <w:t>Ziņas par finanšu instrumentu kontu atlikumu z</w:t>
      </w:r>
      <w:r w:rsidRPr="006E26C6">
        <w:rPr>
          <w:rFonts w:ascii="Times New Roman" w:hAnsi="Times New Roman" w:cs="Times New Roman"/>
          <w:i/>
          <w:iCs/>
          <w:color w:val="000000"/>
          <w:sz w:val="24"/>
          <w:szCs w:val="24"/>
        </w:rPr>
        <w:t>vērinātam tiesu izpildītājam sniedz, ja ziņas nepieciešamas piedziņas vēršanai uz</w:t>
      </w:r>
      <w:r w:rsidRPr="005821A7">
        <w:rPr>
          <w:rFonts w:ascii="Times New Roman" w:hAnsi="Times New Roman" w:cs="Times New Roman"/>
          <w:i/>
          <w:iCs/>
          <w:color w:val="000000"/>
          <w:sz w:val="24"/>
          <w:szCs w:val="24"/>
        </w:rPr>
        <w:t xml:space="preserve"> parādniekam</w:t>
      </w:r>
      <w:r w:rsidR="0013711F">
        <w:rPr>
          <w:rFonts w:ascii="Times New Roman" w:hAnsi="Times New Roman" w:cs="Times New Roman"/>
          <w:i/>
          <w:iCs/>
          <w:color w:val="000000"/>
          <w:sz w:val="24"/>
          <w:szCs w:val="24"/>
        </w:rPr>
        <w:t xml:space="preserve"> </w:t>
      </w:r>
      <w:r w:rsidRPr="005821A7">
        <w:rPr>
          <w:rFonts w:ascii="Times New Roman" w:hAnsi="Times New Roman" w:cs="Times New Roman"/>
          <w:i/>
          <w:iCs/>
          <w:color w:val="000000"/>
          <w:sz w:val="24"/>
          <w:szCs w:val="24"/>
        </w:rPr>
        <w:t>-</w:t>
      </w:r>
      <w:r w:rsidR="005A410D">
        <w:rPr>
          <w:rFonts w:ascii="Times New Roman" w:hAnsi="Times New Roman" w:cs="Times New Roman"/>
          <w:i/>
          <w:iCs/>
          <w:color w:val="000000"/>
          <w:sz w:val="24"/>
          <w:szCs w:val="24"/>
        </w:rPr>
        <w:t xml:space="preserve"> </w:t>
      </w:r>
      <w:r w:rsidRPr="005821A7">
        <w:rPr>
          <w:rFonts w:ascii="Times New Roman" w:hAnsi="Times New Roman" w:cs="Times New Roman"/>
          <w:i/>
          <w:iCs/>
          <w:color w:val="000000"/>
          <w:sz w:val="24"/>
          <w:szCs w:val="24"/>
          <w:shd w:val="clear" w:color="auto" w:fill="FFFFFF"/>
        </w:rPr>
        <w:t>finanšu instrumentu konta</w:t>
      </w:r>
      <w:r w:rsidR="0013711F">
        <w:rPr>
          <w:rFonts w:ascii="Times New Roman" w:hAnsi="Times New Roman" w:cs="Times New Roman"/>
          <w:i/>
          <w:iCs/>
          <w:color w:val="000000"/>
          <w:sz w:val="24"/>
          <w:szCs w:val="24"/>
          <w:shd w:val="clear" w:color="auto" w:fill="FFFFFF"/>
        </w:rPr>
        <w:br/>
      </w:r>
      <w:r w:rsidRPr="005821A7">
        <w:rPr>
          <w:rFonts w:ascii="Times New Roman" w:hAnsi="Times New Roman" w:cs="Times New Roman"/>
          <w:i/>
          <w:iCs/>
          <w:color w:val="000000"/>
          <w:sz w:val="24"/>
          <w:szCs w:val="24"/>
          <w:shd w:val="clear" w:color="auto" w:fill="FFFFFF"/>
        </w:rPr>
        <w:t>turētājam -</w:t>
      </w:r>
      <w:r w:rsidR="005A410D">
        <w:rPr>
          <w:rFonts w:ascii="Times New Roman" w:hAnsi="Times New Roman" w:cs="Times New Roman"/>
          <w:i/>
          <w:iCs/>
          <w:color w:val="000000"/>
          <w:sz w:val="24"/>
          <w:szCs w:val="24"/>
          <w:shd w:val="clear" w:color="auto" w:fill="FFFFFF"/>
        </w:rPr>
        <w:t xml:space="preserve"> </w:t>
      </w:r>
      <w:r w:rsidRPr="005821A7">
        <w:rPr>
          <w:rFonts w:ascii="Times New Roman" w:hAnsi="Times New Roman" w:cs="Times New Roman"/>
          <w:i/>
          <w:iCs/>
          <w:color w:val="000000"/>
          <w:sz w:val="24"/>
          <w:szCs w:val="24"/>
        </w:rPr>
        <w:t>piederošiem finanšu instrumentiem, bet par fiziskās personas</w:t>
      </w:r>
      <w:r w:rsidR="005A410D">
        <w:rPr>
          <w:rFonts w:ascii="Times New Roman" w:hAnsi="Times New Roman" w:cs="Times New Roman"/>
          <w:i/>
          <w:iCs/>
          <w:color w:val="000000"/>
          <w:sz w:val="24"/>
          <w:szCs w:val="24"/>
        </w:rPr>
        <w:t xml:space="preserve"> </w:t>
      </w:r>
      <w:r w:rsidR="0013711F">
        <w:rPr>
          <w:rFonts w:ascii="Times New Roman" w:hAnsi="Times New Roman" w:cs="Times New Roman"/>
          <w:i/>
          <w:iCs/>
          <w:color w:val="000000"/>
          <w:sz w:val="24"/>
          <w:szCs w:val="24"/>
          <w:shd w:val="clear" w:color="auto" w:fill="FFFFFF"/>
        </w:rPr>
        <w:t>-</w:t>
      </w:r>
      <w:r w:rsidRPr="005821A7">
        <w:rPr>
          <w:rFonts w:ascii="Times New Roman" w:hAnsi="Times New Roman" w:cs="Times New Roman"/>
          <w:i/>
          <w:iCs/>
          <w:color w:val="000000"/>
          <w:sz w:val="24"/>
          <w:szCs w:val="24"/>
          <w:shd w:val="clear" w:color="auto" w:fill="FFFFFF"/>
        </w:rPr>
        <w:t xml:space="preserve"> mantojuma</w:t>
      </w:r>
      <w:r w:rsidR="0013711F">
        <w:rPr>
          <w:rFonts w:ascii="Times New Roman" w:hAnsi="Times New Roman" w:cs="Times New Roman"/>
          <w:i/>
          <w:iCs/>
          <w:color w:val="000000"/>
          <w:sz w:val="24"/>
          <w:szCs w:val="24"/>
          <w:shd w:val="clear" w:color="auto" w:fill="FFFFFF"/>
        </w:rPr>
        <w:br/>
      </w:r>
      <w:r w:rsidRPr="005821A7">
        <w:rPr>
          <w:rFonts w:ascii="Times New Roman" w:hAnsi="Times New Roman" w:cs="Times New Roman"/>
          <w:i/>
          <w:iCs/>
          <w:color w:val="000000"/>
          <w:sz w:val="24"/>
          <w:szCs w:val="24"/>
          <w:shd w:val="clear" w:color="auto" w:fill="FFFFFF"/>
        </w:rPr>
        <w:t xml:space="preserve">atstājēja </w:t>
      </w:r>
      <w:r w:rsidR="0013711F">
        <w:rPr>
          <w:rFonts w:ascii="Times New Roman" w:hAnsi="Times New Roman" w:cs="Times New Roman"/>
          <w:i/>
          <w:iCs/>
          <w:color w:val="000000"/>
          <w:sz w:val="24"/>
          <w:szCs w:val="24"/>
          <w:shd w:val="clear" w:color="auto" w:fill="FFFFFF"/>
        </w:rPr>
        <w:t>-</w:t>
      </w:r>
      <w:r w:rsidR="005A410D">
        <w:rPr>
          <w:rFonts w:ascii="Times New Roman" w:hAnsi="Times New Roman" w:cs="Times New Roman"/>
          <w:i/>
          <w:iCs/>
          <w:color w:val="000000"/>
          <w:sz w:val="24"/>
          <w:szCs w:val="24"/>
          <w:shd w:val="clear" w:color="auto" w:fill="FFFFFF"/>
        </w:rPr>
        <w:t xml:space="preserve"> </w:t>
      </w:r>
      <w:r w:rsidRPr="005821A7">
        <w:rPr>
          <w:rFonts w:ascii="Times New Roman" w:hAnsi="Times New Roman" w:cs="Times New Roman"/>
          <w:i/>
          <w:iCs/>
          <w:color w:val="000000"/>
          <w:sz w:val="24"/>
          <w:szCs w:val="24"/>
        </w:rPr>
        <w:t>konta atlikumu arī</w:t>
      </w:r>
      <w:r w:rsidR="005A410D">
        <w:rPr>
          <w:rFonts w:ascii="Times New Roman" w:hAnsi="Times New Roman" w:cs="Times New Roman"/>
          <w:i/>
          <w:iCs/>
          <w:color w:val="000000"/>
          <w:sz w:val="24"/>
          <w:szCs w:val="24"/>
        </w:rPr>
        <w:t xml:space="preserve"> </w:t>
      </w:r>
      <w:r w:rsidRPr="005821A7">
        <w:rPr>
          <w:rFonts w:ascii="Times New Roman" w:hAnsi="Times New Roman" w:cs="Times New Roman"/>
          <w:i/>
          <w:iCs/>
          <w:color w:val="000000"/>
          <w:sz w:val="24"/>
          <w:szCs w:val="24"/>
        </w:rPr>
        <w:t>gadījumos, kad ziņas nepieciešamas inventāra saraksta sastādīšanai."</w:t>
      </w:r>
    </w:p>
    <w:p w14:paraId="04A73B17" w14:textId="42952460" w:rsidR="005E0ADA" w:rsidRDefault="008C3D99" w:rsidP="005E0ADA">
      <w:pPr>
        <w:pStyle w:val="xmsonormal"/>
        <w:shd w:val="clear" w:color="auto" w:fill="FFFFFF"/>
        <w:ind w:firstLine="720"/>
        <w:jc w:val="both"/>
        <w:rPr>
          <w:rFonts w:ascii="Times New Roman" w:hAnsi="Times New Roman" w:cs="Times New Roman"/>
          <w:color w:val="000000"/>
          <w:sz w:val="24"/>
          <w:szCs w:val="24"/>
        </w:rPr>
      </w:pPr>
      <w:r w:rsidRPr="00737166">
        <w:rPr>
          <w:rFonts w:ascii="Times New Roman" w:hAnsi="Times New Roman" w:cs="Times New Roman"/>
          <w:color w:val="000000"/>
          <w:sz w:val="24"/>
          <w:szCs w:val="24"/>
        </w:rPr>
        <w:t xml:space="preserve">Precizējot </w:t>
      </w:r>
      <w:r w:rsidR="00EF19F2">
        <w:rPr>
          <w:rFonts w:ascii="Times New Roman" w:hAnsi="Times New Roman" w:cs="Times New Roman"/>
          <w:color w:val="000000"/>
          <w:sz w:val="24"/>
          <w:szCs w:val="24"/>
        </w:rPr>
        <w:t>L</w:t>
      </w:r>
      <w:r w:rsidRPr="00737166">
        <w:rPr>
          <w:rFonts w:ascii="Times New Roman" w:hAnsi="Times New Roman" w:cs="Times New Roman"/>
          <w:color w:val="000000"/>
          <w:sz w:val="24"/>
          <w:szCs w:val="24"/>
        </w:rPr>
        <w:t>ikumprojekta 23.</w:t>
      </w:r>
      <w:r>
        <w:rPr>
          <w:rFonts w:ascii="Times New Roman" w:hAnsi="Times New Roman" w:cs="Times New Roman"/>
          <w:color w:val="000000"/>
          <w:sz w:val="24"/>
          <w:szCs w:val="24"/>
        </w:rPr>
        <w:t> </w:t>
      </w:r>
      <w:r w:rsidRPr="00737166">
        <w:rPr>
          <w:rFonts w:ascii="Times New Roman" w:hAnsi="Times New Roman" w:cs="Times New Roman"/>
          <w:color w:val="000000"/>
          <w:sz w:val="24"/>
          <w:szCs w:val="24"/>
        </w:rPr>
        <w:t>pantu, attiecīgi precizējam</w:t>
      </w:r>
      <w:r w:rsidR="00A3463E">
        <w:rPr>
          <w:rFonts w:ascii="Times New Roman" w:hAnsi="Times New Roman" w:cs="Times New Roman"/>
          <w:color w:val="000000"/>
          <w:sz w:val="24"/>
          <w:szCs w:val="24"/>
        </w:rPr>
        <w:t>a arī Anotācija.</w:t>
      </w:r>
    </w:p>
    <w:p w14:paraId="3321EED0" w14:textId="1D1EA5DA" w:rsidR="005A410D" w:rsidRDefault="005A410D" w:rsidP="005E0ADA">
      <w:pPr>
        <w:pStyle w:val="xmsonormal"/>
        <w:shd w:val="clear" w:color="auto" w:fill="FFFFFF"/>
        <w:ind w:firstLine="720"/>
        <w:jc w:val="both"/>
        <w:rPr>
          <w:rFonts w:ascii="Times New Roman" w:hAnsi="Times New Roman" w:cs="Times New Roman"/>
          <w:color w:val="000000"/>
          <w:sz w:val="24"/>
          <w:szCs w:val="24"/>
        </w:rPr>
      </w:pPr>
    </w:p>
    <w:p w14:paraId="3BCD5E35" w14:textId="50A3F211" w:rsidR="005A410D" w:rsidRDefault="005A410D" w:rsidP="005E0ADA">
      <w:pPr>
        <w:pStyle w:val="xmsonormal"/>
        <w:shd w:val="clear" w:color="auto" w:fill="FFFFFF"/>
        <w:ind w:firstLine="720"/>
        <w:jc w:val="both"/>
        <w:rPr>
          <w:rFonts w:ascii="Times New Roman" w:hAnsi="Times New Roman" w:cs="Times New Roman"/>
          <w:color w:val="000000"/>
          <w:sz w:val="24"/>
          <w:szCs w:val="24"/>
        </w:rPr>
      </w:pPr>
    </w:p>
    <w:p w14:paraId="3C8A55B6" w14:textId="77777777" w:rsidR="005A410D" w:rsidRDefault="005A410D" w:rsidP="005E0ADA">
      <w:pPr>
        <w:pStyle w:val="xmsonormal"/>
        <w:shd w:val="clear" w:color="auto" w:fill="FFFFFF"/>
        <w:ind w:firstLine="720"/>
        <w:jc w:val="both"/>
        <w:rPr>
          <w:rFonts w:ascii="Times New Roman" w:hAnsi="Times New Roman" w:cs="Times New Roman"/>
          <w:color w:val="000000"/>
          <w:sz w:val="24"/>
          <w:szCs w:val="24"/>
        </w:rPr>
      </w:pPr>
    </w:p>
    <w:p w14:paraId="784D8215" w14:textId="37D378EE" w:rsidR="005E0ADA" w:rsidRDefault="0013711F" w:rsidP="005E0ADA">
      <w:pPr>
        <w:pStyle w:val="NoSpacing"/>
        <w:numPr>
          <w:ilvl w:val="0"/>
          <w:numId w:val="20"/>
        </w:numPr>
        <w:ind w:left="0" w:firstLine="360"/>
        <w:rPr>
          <w:szCs w:val="24"/>
        </w:rPr>
      </w:pPr>
      <w:r w:rsidRPr="0013711F">
        <w:rPr>
          <w:color w:val="000000"/>
          <w:szCs w:val="24"/>
        </w:rPr>
        <w:lastRenderedPageBreak/>
        <w:t>Likumprojekta</w:t>
      </w:r>
      <w:r>
        <w:rPr>
          <w:szCs w:val="24"/>
        </w:rPr>
        <w:t xml:space="preserve"> </w:t>
      </w:r>
      <w:r w:rsidR="003071F1" w:rsidRPr="0013711F">
        <w:rPr>
          <w:szCs w:val="24"/>
        </w:rPr>
        <w:t>14. pantā paredzētos</w:t>
      </w:r>
      <w:r w:rsidR="003071F1">
        <w:rPr>
          <w:szCs w:val="24"/>
        </w:rPr>
        <w:t xml:space="preserve"> grozījumus </w:t>
      </w:r>
      <w:r>
        <w:rPr>
          <w:szCs w:val="24"/>
        </w:rPr>
        <w:t>Likuma</w:t>
      </w:r>
      <w:r w:rsidR="003071F1">
        <w:rPr>
          <w:szCs w:val="24"/>
        </w:rPr>
        <w:t xml:space="preserve"> 103. pantā nepieciešams papildus izvērtēt. Šobrīd pants nosaka tikai kredītiestāžu tiesības </w:t>
      </w:r>
      <w:r w:rsidR="003071F1" w:rsidRPr="002C3637">
        <w:rPr>
          <w:szCs w:val="24"/>
        </w:rPr>
        <w:t xml:space="preserve">sniegt ieguldījumu pakalpojumus un ieguldījumu </w:t>
      </w:r>
      <w:proofErr w:type="spellStart"/>
      <w:r w:rsidR="003071F1" w:rsidRPr="002C3637">
        <w:rPr>
          <w:szCs w:val="24"/>
        </w:rPr>
        <w:t>blakuspakalpojumus</w:t>
      </w:r>
      <w:proofErr w:type="spellEnd"/>
      <w:r w:rsidR="003071F1">
        <w:rPr>
          <w:szCs w:val="24"/>
        </w:rPr>
        <w:t xml:space="preserve">. Ja panta nosaukumā kredītiestādes tiek aizstātas ar vārdiem “citi subjekti”, tad šādā pantā jāveido izvērsts regulējums par visiem subjektiem, kuriem paredzētais regulējums būs saistošs. Tādējādi šajā pantā normas jāizsaka ar pietiekamu vispārinājuma pakāpi, lai tās būtu piemērojamas jebkuram subjektam, vai arī par visiem subjektiem regulējums jāveido atsevišķi. Turklāt šobrīd </w:t>
      </w:r>
      <w:r>
        <w:rPr>
          <w:szCs w:val="24"/>
        </w:rPr>
        <w:t>Likum</w:t>
      </w:r>
      <w:r w:rsidR="003071F1">
        <w:rPr>
          <w:szCs w:val="24"/>
        </w:rPr>
        <w:t xml:space="preserve">projektā paredzētajā jaunajā šī panta sestajā daļā esošā iekšējā atsauce uz panta pirmo daļu, kas paredz tikai kredītiestādēm saistošu regulējumu, nav korekta un atbilstoša normatīvo aktu izstrādes juridiskās tehnikas prasībām. Vienlaikus nav saprotama dažādiem subjektiem paredzētā atšķirīgā attieksme, kad kredītiestādēm panta otrajā daļā </w:t>
      </w:r>
      <w:r w:rsidR="003071F1" w:rsidRPr="00547C90">
        <w:rPr>
          <w:szCs w:val="24"/>
        </w:rPr>
        <w:t xml:space="preserve">ieguldījumu pakalpojumu un ieguldījumu </w:t>
      </w:r>
      <w:proofErr w:type="spellStart"/>
      <w:r w:rsidR="003071F1" w:rsidRPr="00547C90">
        <w:rPr>
          <w:szCs w:val="24"/>
        </w:rPr>
        <w:t>blakuspakalpojumu</w:t>
      </w:r>
      <w:proofErr w:type="spellEnd"/>
      <w:r w:rsidR="003071F1" w:rsidRPr="00547C90">
        <w:rPr>
          <w:szCs w:val="24"/>
        </w:rPr>
        <w:t xml:space="preserve"> sniegšan</w:t>
      </w:r>
      <w:r w:rsidR="003071F1">
        <w:rPr>
          <w:szCs w:val="24"/>
        </w:rPr>
        <w:t>ai</w:t>
      </w:r>
      <w:r w:rsidR="003071F1" w:rsidRPr="00547C90">
        <w:rPr>
          <w:szCs w:val="24"/>
        </w:rPr>
        <w:t xml:space="preserve"> </w:t>
      </w:r>
      <w:r w:rsidR="003071F1">
        <w:rPr>
          <w:szCs w:val="24"/>
        </w:rPr>
        <w:t xml:space="preserve">tiek noteiktas 30 dienas un “noklusējuma principa” piemērošana, savukārt </w:t>
      </w:r>
      <w:r w:rsidR="00DF4F1F">
        <w:rPr>
          <w:szCs w:val="24"/>
        </w:rPr>
        <w:t>Likum</w:t>
      </w:r>
      <w:r w:rsidR="003071F1">
        <w:rPr>
          <w:szCs w:val="24"/>
        </w:rPr>
        <w:t xml:space="preserve">projektā jaunajā </w:t>
      </w:r>
      <w:r w:rsidR="00DF4F1F">
        <w:rPr>
          <w:szCs w:val="24"/>
        </w:rPr>
        <w:t>L</w:t>
      </w:r>
      <w:r w:rsidR="003071F1" w:rsidRPr="00547C90">
        <w:rPr>
          <w:szCs w:val="24"/>
        </w:rPr>
        <w:t>ikum</w:t>
      </w:r>
      <w:r w:rsidR="003071F1">
        <w:rPr>
          <w:szCs w:val="24"/>
        </w:rPr>
        <w:t>a</w:t>
      </w:r>
      <w:r w:rsidR="003071F1" w:rsidRPr="00547C90">
        <w:rPr>
          <w:szCs w:val="24"/>
        </w:rPr>
        <w:t xml:space="preserve"> 103.</w:t>
      </w:r>
      <w:r w:rsidR="003071F1">
        <w:rPr>
          <w:szCs w:val="24"/>
        </w:rPr>
        <w:t> </w:t>
      </w:r>
      <w:r w:rsidR="003071F1" w:rsidRPr="00547C90">
        <w:rPr>
          <w:szCs w:val="24"/>
        </w:rPr>
        <w:t>pant</w:t>
      </w:r>
      <w:r w:rsidR="003071F1">
        <w:rPr>
          <w:szCs w:val="24"/>
        </w:rPr>
        <w:t>a</w:t>
      </w:r>
      <w:r w:rsidR="003071F1" w:rsidRPr="00547C90">
        <w:rPr>
          <w:szCs w:val="24"/>
        </w:rPr>
        <w:t xml:space="preserve"> </w:t>
      </w:r>
      <w:r w:rsidR="003071F1">
        <w:rPr>
          <w:szCs w:val="24"/>
        </w:rPr>
        <w:t xml:space="preserve">septītajā daļā </w:t>
      </w:r>
      <w:r w:rsidR="003071F1" w:rsidRPr="00547C90">
        <w:rPr>
          <w:szCs w:val="24"/>
        </w:rPr>
        <w:t>apdrošināšanas brokeru, ieguldījumu pārvaldes sabiedrību un alternatīvo ieguldījumu fondu pārvaldnieku tiesīb</w:t>
      </w:r>
      <w:r w:rsidR="003071F1">
        <w:rPr>
          <w:szCs w:val="24"/>
        </w:rPr>
        <w:t>as</w:t>
      </w:r>
      <w:r w:rsidR="003071F1" w:rsidRPr="00547C90">
        <w:rPr>
          <w:szCs w:val="24"/>
        </w:rPr>
        <w:t xml:space="preserve"> uzsākt ieguldījumu pakalpojumu un ieguldījumu </w:t>
      </w:r>
      <w:proofErr w:type="spellStart"/>
      <w:r w:rsidR="003071F1" w:rsidRPr="00547C90">
        <w:rPr>
          <w:szCs w:val="24"/>
        </w:rPr>
        <w:t>blakuspakalpojumu</w:t>
      </w:r>
      <w:proofErr w:type="spellEnd"/>
      <w:r w:rsidR="003071F1" w:rsidRPr="00547C90">
        <w:rPr>
          <w:szCs w:val="24"/>
        </w:rPr>
        <w:t xml:space="preserve"> sniegšanu </w:t>
      </w:r>
      <w:r w:rsidR="003071F1">
        <w:rPr>
          <w:szCs w:val="24"/>
        </w:rPr>
        <w:t xml:space="preserve">būs, kad </w:t>
      </w:r>
      <w:r w:rsidR="003071F1" w:rsidRPr="00547C90">
        <w:rPr>
          <w:szCs w:val="24"/>
        </w:rPr>
        <w:t>Komisija 30 darbdienu laikā pēc visu lēmuma pieņemšanai nepieciešamo un atbilstoši normatīvo aktu prasībām sagatavoto un noformēto dokumentu saņemšanas</w:t>
      </w:r>
      <w:r w:rsidR="003071F1">
        <w:rPr>
          <w:szCs w:val="24"/>
        </w:rPr>
        <w:t xml:space="preserve"> pieņems atbilstošu lēmumu</w:t>
      </w:r>
      <w:r w:rsidR="003071F1" w:rsidRPr="00547C90">
        <w:rPr>
          <w:szCs w:val="24"/>
        </w:rPr>
        <w:t>.</w:t>
      </w:r>
      <w:r w:rsidR="003071F1">
        <w:rPr>
          <w:szCs w:val="24"/>
        </w:rPr>
        <w:t xml:space="preserve"> </w:t>
      </w:r>
      <w:r w:rsidR="00DF4F1F">
        <w:rPr>
          <w:szCs w:val="24"/>
        </w:rPr>
        <w:t>An</w:t>
      </w:r>
      <w:r w:rsidR="003071F1">
        <w:rPr>
          <w:szCs w:val="24"/>
        </w:rPr>
        <w:t xml:space="preserve">otācijā šāda nevienlīdzīga attieksme pret dažādiem subjektiem netiek skaidrota. Ievērojot minēto, piedāvājam izvērtēt iespēju </w:t>
      </w:r>
      <w:r w:rsidR="00DF4F1F">
        <w:rPr>
          <w:szCs w:val="24"/>
        </w:rPr>
        <w:t>L</w:t>
      </w:r>
      <w:r w:rsidR="003071F1">
        <w:rPr>
          <w:szCs w:val="24"/>
        </w:rPr>
        <w:t xml:space="preserve">ikuma 103. pantu izteikt jaunā redakcijā un veidot visiem subjektiem paredzētu vienotu regulējumu, bet gadījumos, ja ir nepieciešams vai pieļaujams atšķirīgs regulējums, to iekļaut pantā, kā arī par to sniegt izvērstu skaidrojumu </w:t>
      </w:r>
      <w:r w:rsidR="00DF4F1F">
        <w:rPr>
          <w:szCs w:val="24"/>
        </w:rPr>
        <w:t>Anotācijā.</w:t>
      </w:r>
      <w:r w:rsidR="003071F1">
        <w:rPr>
          <w:szCs w:val="24"/>
        </w:rPr>
        <w:t xml:space="preserve"> </w:t>
      </w:r>
    </w:p>
    <w:p w14:paraId="46D3145C" w14:textId="77777777" w:rsidR="005A410D" w:rsidRPr="005A410D" w:rsidRDefault="005A410D" w:rsidP="005A410D"/>
    <w:p w14:paraId="007D0A38" w14:textId="2AC0D55B" w:rsidR="005E0ADA" w:rsidRDefault="00DF4F1F" w:rsidP="005E0ADA">
      <w:pPr>
        <w:pStyle w:val="NoSpacing"/>
        <w:numPr>
          <w:ilvl w:val="0"/>
          <w:numId w:val="20"/>
        </w:numPr>
        <w:ind w:left="0" w:firstLine="360"/>
        <w:rPr>
          <w:szCs w:val="24"/>
        </w:rPr>
      </w:pPr>
      <w:r>
        <w:rPr>
          <w:szCs w:val="24"/>
        </w:rPr>
        <w:t>Likump</w:t>
      </w:r>
      <w:r w:rsidR="003071F1">
        <w:rPr>
          <w:szCs w:val="24"/>
        </w:rPr>
        <w:t xml:space="preserve">rojekta 14. pantā paredzētajā </w:t>
      </w:r>
      <w:r>
        <w:rPr>
          <w:szCs w:val="24"/>
        </w:rPr>
        <w:t>L</w:t>
      </w:r>
      <w:r w:rsidR="003071F1" w:rsidRPr="00573D38">
        <w:rPr>
          <w:szCs w:val="24"/>
        </w:rPr>
        <w:t>ikum</w:t>
      </w:r>
      <w:r w:rsidR="003071F1">
        <w:rPr>
          <w:szCs w:val="24"/>
        </w:rPr>
        <w:t>a 103. panta septītajā daļā tiek noteikts, ka l</w:t>
      </w:r>
      <w:r w:rsidR="003071F1" w:rsidRPr="00BF3E58">
        <w:rPr>
          <w:szCs w:val="24"/>
        </w:rPr>
        <w:t xml:space="preserve">ēmumu </w:t>
      </w:r>
      <w:r w:rsidR="003071F1" w:rsidRPr="009C0395">
        <w:rPr>
          <w:szCs w:val="24"/>
        </w:rPr>
        <w:t xml:space="preserve">par Latvijas Republikā reģistrētu apdrošināšanas brokeru, ieguldījumu pārvaldes sabiedrību un alternatīvo ieguldījumu fondu pārvaldnieku tiesībām uzsākt ieguldījumu pakalpojumu un ieguldījumu </w:t>
      </w:r>
      <w:proofErr w:type="spellStart"/>
      <w:r w:rsidR="003071F1" w:rsidRPr="009C0395">
        <w:rPr>
          <w:szCs w:val="24"/>
        </w:rPr>
        <w:t>blakuspakalpojumu</w:t>
      </w:r>
      <w:proofErr w:type="spellEnd"/>
      <w:r w:rsidR="003071F1" w:rsidRPr="009C0395">
        <w:rPr>
          <w:szCs w:val="24"/>
        </w:rPr>
        <w:t xml:space="preserve"> sniegšanu Komisija pieņem 30 darbdienu laikā pēc visu lēmuma pieņemšanai nepieciešamo un atbilstoši normatīvo aktu prasībām sagatavoto un noformēto dokumentu saņemšanas.</w:t>
      </w:r>
      <w:r w:rsidR="003071F1">
        <w:rPr>
          <w:szCs w:val="24"/>
        </w:rPr>
        <w:t xml:space="preserve"> Vēršam uzmanību, ka Administratīvā procesa likuma (turpmāk – APL) 64. panta pirmā daļa paredz, ka, ja administratīvā lieta ierosināta uz iesnieguma pamata, iestāde pieņem lēmumu par administratīvā akta izdošanu viena mēneša laikā no iesnieguma saņemšanas dienas, ja likumā nav noteikts cits termiņš vai citā normatīvajā </w:t>
      </w:r>
      <w:r>
        <w:rPr>
          <w:szCs w:val="24"/>
        </w:rPr>
        <w:br/>
      </w:r>
      <w:r w:rsidR="003071F1">
        <w:rPr>
          <w:szCs w:val="24"/>
        </w:rPr>
        <w:t xml:space="preserve">aktā – īsāks termiņš administratīvā akta izdošanai. No minētā izriet, ka likumā var tikt noteikts no APL 64. panta pirmajā daļā paredzētā viena mēneša termiņa atšķirīgs administratīvā akta izdošanas termiņš. Vienlaikus lielāka termiņa noteikšanas nepieciešamība ir jāskaidro </w:t>
      </w:r>
      <w:r>
        <w:rPr>
          <w:szCs w:val="24"/>
        </w:rPr>
        <w:t>likum</w:t>
      </w:r>
      <w:r w:rsidR="003071F1">
        <w:rPr>
          <w:szCs w:val="24"/>
        </w:rPr>
        <w:t xml:space="preserve">projekta anotācijā. Papildus norādām, </w:t>
      </w:r>
      <w:r w:rsidR="003071F1" w:rsidRPr="000C1B84">
        <w:rPr>
          <w:szCs w:val="24"/>
        </w:rPr>
        <w:t>ka lēmuma pieņemšanas termiņa skaitīšana no brīža, kad persona iesniegusi visus dokumentus, var nesamērīgi pagarināt termiņu, kādā tiks pieņemts lēmums. Proti, formāl</w:t>
      </w:r>
      <w:r w:rsidR="003071F1">
        <w:rPr>
          <w:szCs w:val="24"/>
        </w:rPr>
        <w:t>i lēmuma pieņemšanai noteikts 30 darb</w:t>
      </w:r>
      <w:r w:rsidR="003071F1" w:rsidRPr="000C1B84">
        <w:rPr>
          <w:szCs w:val="24"/>
        </w:rPr>
        <w:t>dienu termiņš, taču faktiski nav zināms, cik garš tas būs, ja persona, iesniedzot iesniegumu, nebūs iesniegusi visus lēmuma pieņemšanai nepieciešamos dokumentus.</w:t>
      </w:r>
      <w:r w:rsidR="003071F1">
        <w:rPr>
          <w:szCs w:val="24"/>
        </w:rPr>
        <w:t xml:space="preserve"> Līdz ar to ir nepieciešams izvērtēt šāda regulējuma samērīgumu, kā arī izvērtēt iespēju noteikt iestādei noteiktu, uz sadarbību vērstu rīcību, piemēram, iesniedzējam izskaidrot visas iesniegto dokumentu nepilnības. Ievērojot minēto, lūdzam precizēt </w:t>
      </w:r>
      <w:r>
        <w:rPr>
          <w:szCs w:val="24"/>
        </w:rPr>
        <w:t>Likum</w:t>
      </w:r>
      <w:r w:rsidR="003071F1">
        <w:rPr>
          <w:szCs w:val="24"/>
        </w:rPr>
        <w:t xml:space="preserve">projekta 14. pantu un papildināt </w:t>
      </w:r>
      <w:r>
        <w:rPr>
          <w:szCs w:val="24"/>
        </w:rPr>
        <w:t>A</w:t>
      </w:r>
      <w:r w:rsidR="003071F1">
        <w:rPr>
          <w:szCs w:val="24"/>
        </w:rPr>
        <w:t xml:space="preserve">notāciju ar attiecīgu skaidrojumu. </w:t>
      </w:r>
    </w:p>
    <w:p w14:paraId="42C5C5EC" w14:textId="77777777" w:rsidR="005A410D" w:rsidRPr="005A410D" w:rsidRDefault="005A410D" w:rsidP="005A410D"/>
    <w:p w14:paraId="01259816" w14:textId="32B25C8A" w:rsidR="003071F1" w:rsidRDefault="003071F1" w:rsidP="0013711F">
      <w:pPr>
        <w:pStyle w:val="NoSpacing"/>
        <w:numPr>
          <w:ilvl w:val="0"/>
          <w:numId w:val="20"/>
        </w:numPr>
        <w:ind w:left="0" w:firstLine="360"/>
        <w:rPr>
          <w:szCs w:val="24"/>
        </w:rPr>
      </w:pPr>
      <w:r>
        <w:rPr>
          <w:szCs w:val="24"/>
        </w:rPr>
        <w:t xml:space="preserve">Anotācijas kopsavilkumā tiek norādīts, ka </w:t>
      </w:r>
      <w:r w:rsidR="00DF4F1F">
        <w:rPr>
          <w:szCs w:val="24"/>
        </w:rPr>
        <w:t>Likum</w:t>
      </w:r>
      <w:r w:rsidRPr="00613C66">
        <w:rPr>
          <w:szCs w:val="24"/>
        </w:rPr>
        <w:t>projekta mērķ</w:t>
      </w:r>
      <w:r>
        <w:rPr>
          <w:szCs w:val="24"/>
        </w:rPr>
        <w:t xml:space="preserve">is ir saskaņot </w:t>
      </w:r>
      <w:r w:rsidR="00DF4F1F">
        <w:rPr>
          <w:szCs w:val="24"/>
        </w:rPr>
        <w:t>L</w:t>
      </w:r>
      <w:r>
        <w:rPr>
          <w:szCs w:val="24"/>
        </w:rPr>
        <w:t>ikuma normas ar likumprojekta “</w:t>
      </w:r>
      <w:r w:rsidRPr="00613C66">
        <w:rPr>
          <w:szCs w:val="24"/>
        </w:rPr>
        <w:t>Ieguld</w:t>
      </w:r>
      <w:r>
        <w:rPr>
          <w:szCs w:val="24"/>
        </w:rPr>
        <w:t>ījumu brokeru sabiedrību likums”</w:t>
      </w:r>
      <w:r w:rsidRPr="00613C66">
        <w:rPr>
          <w:szCs w:val="24"/>
        </w:rPr>
        <w:t xml:space="preserve"> normām, lai nodrošinātu tiesību sistēmas saskaņotību un pārņemtu Direktīvas 2019/2034 prasības</w:t>
      </w:r>
      <w:r>
        <w:rPr>
          <w:szCs w:val="24"/>
        </w:rPr>
        <w:t xml:space="preserve">. Vienlaikus </w:t>
      </w:r>
      <w:r w:rsidR="00DF4F1F">
        <w:rPr>
          <w:szCs w:val="24"/>
        </w:rPr>
        <w:t>Likum</w:t>
      </w:r>
      <w:r>
        <w:rPr>
          <w:szCs w:val="24"/>
        </w:rPr>
        <w:t xml:space="preserve">projektā nav noteikts, ka kādas no tā normām stājas spēkā vienlaikus ar likumprojektu “Ieguldījumu brokeru sabiedrību likums”. Anotācijas IV sadaļas 1. punktā norādīts, ka </w:t>
      </w:r>
      <w:r w:rsidR="00DF4F1F">
        <w:rPr>
          <w:szCs w:val="24"/>
        </w:rPr>
        <w:t>Likum</w:t>
      </w:r>
      <w:r>
        <w:rPr>
          <w:szCs w:val="24"/>
        </w:rPr>
        <w:t xml:space="preserve">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Ievērojot minēto, nepieciešams izvērtēt likumprojektu paketi kopumā un papildināt </w:t>
      </w:r>
      <w:r w:rsidR="00DF4F1F">
        <w:rPr>
          <w:szCs w:val="24"/>
        </w:rPr>
        <w:lastRenderedPageBreak/>
        <w:t>Likum</w:t>
      </w:r>
      <w:r>
        <w:rPr>
          <w:szCs w:val="24"/>
        </w:rPr>
        <w:t xml:space="preserve">projektu, nosakot, kuras </w:t>
      </w:r>
      <w:r w:rsidR="00DF4F1F">
        <w:rPr>
          <w:szCs w:val="24"/>
        </w:rPr>
        <w:t>Likum</w:t>
      </w:r>
      <w:r>
        <w:rPr>
          <w:szCs w:val="24"/>
        </w:rPr>
        <w:t xml:space="preserve">projekta normas stāsies spēkā vienlaikus ar likumprojektu “Ieguldījumu brokeru sabiedrību likums”, proti, veidot jaunus </w:t>
      </w:r>
      <w:r w:rsidR="00DF4F1F">
        <w:rPr>
          <w:szCs w:val="24"/>
        </w:rPr>
        <w:t>L</w:t>
      </w:r>
      <w:r>
        <w:rPr>
          <w:szCs w:val="24"/>
        </w:rPr>
        <w:t xml:space="preserve">ikuma pārejas noteikumus, vai arī visiem likumprojektiem noteikt vienu spēkā stāšanās termiņu (datumu). </w:t>
      </w:r>
    </w:p>
    <w:p w14:paraId="27B9C154" w14:textId="1C3A7EE5" w:rsidR="008C3D99" w:rsidRDefault="008C3D99" w:rsidP="005E0ADA">
      <w:pPr>
        <w:pStyle w:val="xmsonormal"/>
        <w:shd w:val="clear" w:color="auto" w:fill="FFFFFF"/>
        <w:jc w:val="both"/>
        <w:rPr>
          <w:rFonts w:ascii="Times New Roman" w:hAnsi="Times New Roman" w:cs="Times New Roman"/>
          <w:color w:val="000000"/>
          <w:sz w:val="24"/>
          <w:szCs w:val="24"/>
        </w:rPr>
      </w:pPr>
    </w:p>
    <w:p w14:paraId="54F8E36D" w14:textId="77777777" w:rsidR="008C3D99" w:rsidRDefault="008C3D99" w:rsidP="008C3D99">
      <w:pPr>
        <w:pStyle w:val="NormalWeb"/>
        <w:spacing w:before="0" w:after="0"/>
        <w:ind w:right="13"/>
        <w:jc w:val="both"/>
      </w:pPr>
      <w:r>
        <w:t>Valsts sekretāra vietniece</w:t>
      </w:r>
    </w:p>
    <w:p w14:paraId="6B399F3E" w14:textId="77777777" w:rsidR="008C3D99" w:rsidRDefault="008C3D99" w:rsidP="008C3D99">
      <w:pPr>
        <w:pStyle w:val="NormalWeb"/>
        <w:spacing w:before="0" w:after="0"/>
        <w:ind w:right="13"/>
        <w:jc w:val="both"/>
      </w:pPr>
      <w:r>
        <w:t xml:space="preserve">tiesību politikas jautājumos </w:t>
      </w:r>
      <w:r>
        <w:tab/>
      </w:r>
      <w:r>
        <w:tab/>
      </w:r>
      <w:r>
        <w:tab/>
      </w:r>
      <w:r>
        <w:tab/>
      </w:r>
      <w:r>
        <w:tab/>
      </w:r>
      <w:r>
        <w:tab/>
      </w:r>
      <w:r>
        <w:tab/>
      </w:r>
      <w:r>
        <w:tab/>
      </w:r>
      <w:proofErr w:type="spellStart"/>
      <w:r>
        <w:t>L.Medina</w:t>
      </w:r>
      <w:proofErr w:type="spellEnd"/>
    </w:p>
    <w:p w14:paraId="671064F9" w14:textId="0FD99766" w:rsidR="008C3D99" w:rsidRDefault="008C3D99" w:rsidP="008C3D99">
      <w:pPr>
        <w:rPr>
          <w:szCs w:val="24"/>
        </w:rPr>
      </w:pPr>
    </w:p>
    <w:p w14:paraId="68D0561B" w14:textId="77777777" w:rsidR="00A3463E" w:rsidRPr="005E0ADA" w:rsidRDefault="00A3463E" w:rsidP="00A3463E">
      <w:pPr>
        <w:rPr>
          <w:i/>
          <w:iCs/>
          <w:sz w:val="19"/>
          <w:szCs w:val="19"/>
        </w:rPr>
      </w:pPr>
      <w:r w:rsidRPr="005E0ADA">
        <w:rPr>
          <w:i/>
          <w:iCs/>
          <w:sz w:val="19"/>
          <w:szCs w:val="19"/>
        </w:rPr>
        <w:t>Gusārova 67031734</w:t>
      </w:r>
    </w:p>
    <w:p w14:paraId="5C95DC1A" w14:textId="1B843DA6" w:rsidR="008C3D99" w:rsidRPr="005E0ADA" w:rsidRDefault="008C3D99" w:rsidP="00A3463E">
      <w:pPr>
        <w:pStyle w:val="NoSpacing"/>
        <w:rPr>
          <w:i/>
          <w:iCs/>
          <w:sz w:val="19"/>
          <w:szCs w:val="19"/>
        </w:rPr>
      </w:pPr>
      <w:proofErr w:type="spellStart"/>
      <w:r w:rsidRPr="005E0ADA">
        <w:rPr>
          <w:i/>
          <w:iCs/>
          <w:sz w:val="19"/>
          <w:szCs w:val="19"/>
        </w:rPr>
        <w:t>Bajāre</w:t>
      </w:r>
      <w:proofErr w:type="spellEnd"/>
      <w:r w:rsidRPr="005E0ADA">
        <w:rPr>
          <w:i/>
          <w:iCs/>
          <w:sz w:val="19"/>
          <w:szCs w:val="19"/>
        </w:rPr>
        <w:t>-Grīnberga 67036789</w:t>
      </w:r>
    </w:p>
    <w:p w14:paraId="160858AE" w14:textId="1601F602" w:rsidR="008C3D99" w:rsidRPr="005E0ADA" w:rsidRDefault="008C3D99" w:rsidP="008C3D99">
      <w:pPr>
        <w:pStyle w:val="NoSpacing"/>
        <w:rPr>
          <w:sz w:val="19"/>
          <w:szCs w:val="19"/>
          <w:shd w:val="clear" w:color="auto" w:fill="FBFBFB"/>
        </w:rPr>
      </w:pPr>
      <w:proofErr w:type="spellStart"/>
      <w:r w:rsidRPr="005E0ADA">
        <w:rPr>
          <w:i/>
          <w:iCs/>
          <w:sz w:val="19"/>
          <w:szCs w:val="19"/>
        </w:rPr>
        <w:t>Timpare</w:t>
      </w:r>
      <w:proofErr w:type="spellEnd"/>
      <w:r w:rsidRPr="005E0ADA">
        <w:rPr>
          <w:i/>
          <w:iCs/>
          <w:sz w:val="19"/>
          <w:szCs w:val="19"/>
        </w:rPr>
        <w:t xml:space="preserve"> </w:t>
      </w:r>
      <w:r w:rsidRPr="005E0ADA">
        <w:rPr>
          <w:sz w:val="19"/>
          <w:szCs w:val="19"/>
          <w:shd w:val="clear" w:color="auto" w:fill="FBFBFB"/>
        </w:rPr>
        <w:t>67036829</w:t>
      </w:r>
    </w:p>
    <w:p w14:paraId="5E7C1C29" w14:textId="2E9EC0BF" w:rsidR="00830970" w:rsidRPr="005E0ADA" w:rsidRDefault="003071F1" w:rsidP="007B3740">
      <w:pPr>
        <w:rPr>
          <w:i/>
          <w:iCs/>
          <w:sz w:val="19"/>
          <w:szCs w:val="19"/>
        </w:rPr>
      </w:pPr>
      <w:proofErr w:type="spellStart"/>
      <w:r w:rsidRPr="005E0ADA">
        <w:rPr>
          <w:i/>
          <w:iCs/>
          <w:sz w:val="19"/>
          <w:szCs w:val="19"/>
        </w:rPr>
        <w:t>Rudziks</w:t>
      </w:r>
      <w:proofErr w:type="spellEnd"/>
      <w:r w:rsidRPr="005E0ADA">
        <w:rPr>
          <w:i/>
          <w:iCs/>
          <w:sz w:val="19"/>
          <w:szCs w:val="19"/>
        </w:rPr>
        <w:t xml:space="preserve"> 67036902</w:t>
      </w:r>
    </w:p>
    <w:sectPr w:rsidR="00830970" w:rsidRPr="005E0ADA" w:rsidSect="00A34ACB">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2CE9B" w14:textId="77777777" w:rsidR="00840C04" w:rsidRDefault="00840C04">
      <w:r>
        <w:separator/>
      </w:r>
    </w:p>
  </w:endnote>
  <w:endnote w:type="continuationSeparator" w:id="0">
    <w:p w14:paraId="005E56CF" w14:textId="77777777" w:rsidR="00840C04" w:rsidRDefault="0084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Helvetica">
    <w:altName w:val="Calibri"/>
    <w:charset w:val="00"/>
    <w:family w:val="auto"/>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8EEB4" w14:textId="2DBA1101" w:rsidR="003071F1" w:rsidRPr="003071F1" w:rsidRDefault="003071F1">
    <w:pPr>
      <w:pStyle w:val="Footer"/>
      <w:rPr>
        <w:sz w:val="20"/>
        <w:szCs w:val="20"/>
      </w:rPr>
    </w:pPr>
    <w:r w:rsidRPr="00270540">
      <w:rPr>
        <w:sz w:val="20"/>
        <w:szCs w:val="20"/>
      </w:rPr>
      <w:t>TMAtz_</w:t>
    </w:r>
    <w:r>
      <w:rPr>
        <w:sz w:val="20"/>
        <w:szCs w:val="20"/>
      </w:rPr>
      <w:t>1803</w:t>
    </w:r>
    <w:r w:rsidRPr="00270540">
      <w:rPr>
        <w:sz w:val="20"/>
        <w:szCs w:val="20"/>
      </w:rPr>
      <w:t>2</w:t>
    </w:r>
    <w:r>
      <w:rPr>
        <w:sz w:val="20"/>
        <w:szCs w:val="20"/>
      </w:rPr>
      <w:t>1_FITL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30DE" w14:textId="7658599D" w:rsidR="00887350" w:rsidRPr="00D61480" w:rsidRDefault="00D61480">
    <w:pPr>
      <w:pStyle w:val="Footer"/>
      <w:rPr>
        <w:sz w:val="20"/>
        <w:szCs w:val="20"/>
      </w:rPr>
    </w:pPr>
    <w:r w:rsidRPr="00270540">
      <w:rPr>
        <w:sz w:val="20"/>
        <w:szCs w:val="20"/>
      </w:rPr>
      <w:t>TMAtz_</w:t>
    </w:r>
    <w:r>
      <w:rPr>
        <w:sz w:val="20"/>
        <w:szCs w:val="20"/>
      </w:rPr>
      <w:t>1</w:t>
    </w:r>
    <w:r w:rsidR="003071F1">
      <w:rPr>
        <w:sz w:val="20"/>
        <w:szCs w:val="20"/>
      </w:rPr>
      <w:t>8</w:t>
    </w:r>
    <w:r>
      <w:rPr>
        <w:sz w:val="20"/>
        <w:szCs w:val="20"/>
      </w:rPr>
      <w:t>03</w:t>
    </w:r>
    <w:r w:rsidRPr="00270540">
      <w:rPr>
        <w:sz w:val="20"/>
        <w:szCs w:val="20"/>
      </w:rPr>
      <w:t>2</w:t>
    </w:r>
    <w:r>
      <w:rPr>
        <w:sz w:val="20"/>
        <w:szCs w:val="20"/>
      </w:rPr>
      <w:t>1</w:t>
    </w:r>
    <w:r w:rsidR="004540E0">
      <w:rPr>
        <w:sz w:val="20"/>
        <w:szCs w:val="20"/>
      </w:rPr>
      <w:t>_</w:t>
    </w:r>
    <w:r w:rsidR="00A3463E">
      <w:rPr>
        <w:sz w:val="20"/>
        <w:szCs w:val="20"/>
      </w:rPr>
      <w:t>FITL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0B7FF" w14:textId="77777777" w:rsidR="00840C04" w:rsidRDefault="00840C04">
      <w:r>
        <w:separator/>
      </w:r>
    </w:p>
  </w:footnote>
  <w:footnote w:type="continuationSeparator" w:id="0">
    <w:p w14:paraId="3D0E1016" w14:textId="77777777" w:rsidR="00840C04" w:rsidRDefault="00840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2B342987" w:rsidR="007B3740" w:rsidRDefault="007B3740">
        <w:pPr>
          <w:pStyle w:val="Header"/>
          <w:jc w:val="center"/>
        </w:pPr>
        <w:r>
          <w:fldChar w:fldCharType="begin"/>
        </w:r>
        <w:r>
          <w:instrText>PAGE   \* MERGEFORMAT</w:instrText>
        </w:r>
        <w:r>
          <w:fldChar w:fldCharType="separate"/>
        </w:r>
        <w:r w:rsidR="00767928">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1E7B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25.03.2021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1-9.1/316</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EE5A92"/>
    <w:multiLevelType w:val="hybridMultilevel"/>
    <w:tmpl w:val="B84AA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369FD"/>
    <w:multiLevelType w:val="hybridMultilevel"/>
    <w:tmpl w:val="2EBA0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A169BD"/>
    <w:multiLevelType w:val="hybridMultilevel"/>
    <w:tmpl w:val="691CC332"/>
    <w:lvl w:ilvl="0" w:tplc="00E824FE">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4" w15:restartNumberingAfterBreak="0">
    <w:nsid w:val="30E74CE1"/>
    <w:multiLevelType w:val="hybridMultilevel"/>
    <w:tmpl w:val="22020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FC08B2"/>
    <w:multiLevelType w:val="hybridMultilevel"/>
    <w:tmpl w:val="67EAD5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3B0BED"/>
    <w:multiLevelType w:val="hybridMultilevel"/>
    <w:tmpl w:val="CD723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1B10CA"/>
    <w:multiLevelType w:val="hybridMultilevel"/>
    <w:tmpl w:val="39FE172E"/>
    <w:lvl w:ilvl="0" w:tplc="01DC9EC4">
      <w:start w:val="1"/>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9EC6078"/>
    <w:multiLevelType w:val="hybridMultilevel"/>
    <w:tmpl w:val="81E0ED00"/>
    <w:lvl w:ilvl="0" w:tplc="632CF94C">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6D5DF1"/>
    <w:multiLevelType w:val="hybridMultilevel"/>
    <w:tmpl w:val="9B602C0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7"/>
  </w:num>
  <w:num w:numId="13">
    <w:abstractNumId w:val="15"/>
  </w:num>
  <w:num w:numId="14">
    <w:abstractNumId w:val="19"/>
  </w:num>
  <w:num w:numId="15">
    <w:abstractNumId w:val="18"/>
  </w:num>
  <w:num w:numId="16">
    <w:abstractNumId w:val="13"/>
  </w:num>
  <w:num w:numId="17">
    <w:abstractNumId w:val="11"/>
  </w:num>
  <w:num w:numId="18">
    <w:abstractNumId w:val="14"/>
  </w:num>
  <w:num w:numId="19">
    <w:abstractNumId w:val="1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073AA"/>
    <w:rsid w:val="00030349"/>
    <w:rsid w:val="00091ABD"/>
    <w:rsid w:val="00091E5D"/>
    <w:rsid w:val="000D6929"/>
    <w:rsid w:val="000E7F03"/>
    <w:rsid w:val="001026C8"/>
    <w:rsid w:val="00124173"/>
    <w:rsid w:val="0013711F"/>
    <w:rsid w:val="00145AEF"/>
    <w:rsid w:val="00154859"/>
    <w:rsid w:val="001729F2"/>
    <w:rsid w:val="001A1818"/>
    <w:rsid w:val="001A421B"/>
    <w:rsid w:val="001D512C"/>
    <w:rsid w:val="00203630"/>
    <w:rsid w:val="00231B7C"/>
    <w:rsid w:val="00275B9E"/>
    <w:rsid w:val="002B3077"/>
    <w:rsid w:val="002E1474"/>
    <w:rsid w:val="003071E3"/>
    <w:rsid w:val="003071F1"/>
    <w:rsid w:val="00335032"/>
    <w:rsid w:val="003450BC"/>
    <w:rsid w:val="0038437C"/>
    <w:rsid w:val="0043122B"/>
    <w:rsid w:val="00441F52"/>
    <w:rsid w:val="004540E0"/>
    <w:rsid w:val="00493308"/>
    <w:rsid w:val="004C3DC8"/>
    <w:rsid w:val="00535564"/>
    <w:rsid w:val="00574077"/>
    <w:rsid w:val="005778E6"/>
    <w:rsid w:val="005A027E"/>
    <w:rsid w:val="005A410D"/>
    <w:rsid w:val="005E0ADA"/>
    <w:rsid w:val="005E672B"/>
    <w:rsid w:val="00642291"/>
    <w:rsid w:val="00663C3A"/>
    <w:rsid w:val="006C1639"/>
    <w:rsid w:val="006C6018"/>
    <w:rsid w:val="006E6D5D"/>
    <w:rsid w:val="00724680"/>
    <w:rsid w:val="00726E06"/>
    <w:rsid w:val="00747CCB"/>
    <w:rsid w:val="00753AB8"/>
    <w:rsid w:val="0076687E"/>
    <w:rsid w:val="00767928"/>
    <w:rsid w:val="007704BD"/>
    <w:rsid w:val="007B3740"/>
    <w:rsid w:val="007B3BA5"/>
    <w:rsid w:val="007B48EC"/>
    <w:rsid w:val="007E0D0E"/>
    <w:rsid w:val="007E4D1F"/>
    <w:rsid w:val="00815277"/>
    <w:rsid w:val="00816499"/>
    <w:rsid w:val="00830970"/>
    <w:rsid w:val="00840C04"/>
    <w:rsid w:val="0084176B"/>
    <w:rsid w:val="00861E0C"/>
    <w:rsid w:val="0087450D"/>
    <w:rsid w:val="00876C21"/>
    <w:rsid w:val="00883533"/>
    <w:rsid w:val="00887350"/>
    <w:rsid w:val="008A679D"/>
    <w:rsid w:val="008C3D99"/>
    <w:rsid w:val="008E3CED"/>
    <w:rsid w:val="009278EA"/>
    <w:rsid w:val="00930FFE"/>
    <w:rsid w:val="00954D5A"/>
    <w:rsid w:val="0096342D"/>
    <w:rsid w:val="00967EA7"/>
    <w:rsid w:val="009D6B6A"/>
    <w:rsid w:val="00A26363"/>
    <w:rsid w:val="00A3463E"/>
    <w:rsid w:val="00A34ACB"/>
    <w:rsid w:val="00A84FC7"/>
    <w:rsid w:val="00AB4E8A"/>
    <w:rsid w:val="00AC270F"/>
    <w:rsid w:val="00AF10A5"/>
    <w:rsid w:val="00BB087F"/>
    <w:rsid w:val="00C006CF"/>
    <w:rsid w:val="00C04896"/>
    <w:rsid w:val="00C237FA"/>
    <w:rsid w:val="00C255D9"/>
    <w:rsid w:val="00C47F57"/>
    <w:rsid w:val="00C836FF"/>
    <w:rsid w:val="00CD0E2E"/>
    <w:rsid w:val="00CE1449"/>
    <w:rsid w:val="00CF0967"/>
    <w:rsid w:val="00D21FA6"/>
    <w:rsid w:val="00D35C95"/>
    <w:rsid w:val="00D451A6"/>
    <w:rsid w:val="00D457D7"/>
    <w:rsid w:val="00D55B4B"/>
    <w:rsid w:val="00D61480"/>
    <w:rsid w:val="00D90DAE"/>
    <w:rsid w:val="00DD69B5"/>
    <w:rsid w:val="00DF4F1F"/>
    <w:rsid w:val="00E11DA3"/>
    <w:rsid w:val="00E365CE"/>
    <w:rsid w:val="00E40434"/>
    <w:rsid w:val="00E44743"/>
    <w:rsid w:val="00E55922"/>
    <w:rsid w:val="00E62092"/>
    <w:rsid w:val="00E8646D"/>
    <w:rsid w:val="00EC3533"/>
    <w:rsid w:val="00EC37FD"/>
    <w:rsid w:val="00EF19F2"/>
    <w:rsid w:val="00F069FC"/>
    <w:rsid w:val="00F25E51"/>
    <w:rsid w:val="00F60586"/>
    <w:rsid w:val="00FE491E"/>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35C95"/>
    <w:pPr>
      <w:widowControl/>
      <w:spacing w:before="75" w:after="75"/>
      <w:jc w:val="left"/>
    </w:pPr>
    <w:rPr>
      <w:rFonts w:eastAsia="Times New Roman"/>
      <w:szCs w:val="24"/>
      <w:lang w:eastAsia="lv-LV"/>
    </w:rPr>
  </w:style>
  <w:style w:type="paragraph" w:styleId="BodyTextIndent">
    <w:name w:val="Body Text Indent"/>
    <w:basedOn w:val="Normal"/>
    <w:link w:val="BodyTextIndentChar"/>
    <w:uiPriority w:val="99"/>
    <w:unhideWhenUsed/>
    <w:rsid w:val="008C3D99"/>
    <w:pPr>
      <w:widowControl/>
      <w:spacing w:after="120"/>
      <w:ind w:left="283"/>
      <w:jc w:val="left"/>
    </w:pPr>
    <w:rPr>
      <w:rFonts w:ascii="RimHelvetica" w:eastAsiaTheme="minorHAnsi" w:hAnsi="RimHelvetica" w:cs="Calibri"/>
      <w:sz w:val="20"/>
      <w:szCs w:val="20"/>
    </w:rPr>
  </w:style>
  <w:style w:type="character" w:customStyle="1" w:styleId="BodyTextIndentChar">
    <w:name w:val="Body Text Indent Char"/>
    <w:basedOn w:val="DefaultParagraphFont"/>
    <w:link w:val="BodyTextIndent"/>
    <w:uiPriority w:val="99"/>
    <w:rsid w:val="008C3D99"/>
    <w:rPr>
      <w:rFonts w:ascii="RimHelvetica" w:eastAsiaTheme="minorHAnsi" w:hAnsi="RimHelvetica" w:cs="Calibri"/>
      <w:lang w:eastAsia="en-US"/>
    </w:rPr>
  </w:style>
  <w:style w:type="paragraph" w:customStyle="1" w:styleId="xmsonormal">
    <w:name w:val="x_msonormal"/>
    <w:basedOn w:val="Normal"/>
    <w:rsid w:val="008C3D99"/>
    <w:pPr>
      <w:widowControl/>
      <w:jc w:val="left"/>
    </w:pPr>
    <w:rPr>
      <w:rFonts w:ascii="Calibri" w:eastAsiaTheme="minorHAnsi" w:hAnsi="Calibri" w:cs="Calibri"/>
      <w:sz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244753">
      <w:bodyDiv w:val="1"/>
      <w:marLeft w:val="0"/>
      <w:marRight w:val="0"/>
      <w:marTop w:val="0"/>
      <w:marBottom w:val="0"/>
      <w:divBdr>
        <w:top w:val="none" w:sz="0" w:space="0" w:color="auto"/>
        <w:left w:val="none" w:sz="0" w:space="0" w:color="auto"/>
        <w:bottom w:val="none" w:sz="0" w:space="0" w:color="auto"/>
        <w:right w:val="none" w:sz="0" w:space="0" w:color="auto"/>
      </w:divBdr>
    </w:div>
    <w:div w:id="578752983">
      <w:bodyDiv w:val="1"/>
      <w:marLeft w:val="0"/>
      <w:marRight w:val="0"/>
      <w:marTop w:val="0"/>
      <w:marBottom w:val="0"/>
      <w:divBdr>
        <w:top w:val="none" w:sz="0" w:space="0" w:color="auto"/>
        <w:left w:val="none" w:sz="0" w:space="0" w:color="auto"/>
        <w:bottom w:val="none" w:sz="0" w:space="0" w:color="auto"/>
        <w:right w:val="none" w:sz="0" w:space="0" w:color="auto"/>
      </w:divBdr>
    </w:div>
    <w:div w:id="659119032">
      <w:bodyDiv w:val="1"/>
      <w:marLeft w:val="0"/>
      <w:marRight w:val="0"/>
      <w:marTop w:val="0"/>
      <w:marBottom w:val="0"/>
      <w:divBdr>
        <w:top w:val="none" w:sz="0" w:space="0" w:color="auto"/>
        <w:left w:val="none" w:sz="0" w:space="0" w:color="auto"/>
        <w:bottom w:val="none" w:sz="0" w:space="0" w:color="auto"/>
        <w:right w:val="none" w:sz="0" w:space="0" w:color="auto"/>
      </w:divBdr>
    </w:div>
    <w:div w:id="744302353">
      <w:bodyDiv w:val="1"/>
      <w:marLeft w:val="0"/>
      <w:marRight w:val="0"/>
      <w:marTop w:val="0"/>
      <w:marBottom w:val="0"/>
      <w:divBdr>
        <w:top w:val="none" w:sz="0" w:space="0" w:color="auto"/>
        <w:left w:val="none" w:sz="0" w:space="0" w:color="auto"/>
        <w:bottom w:val="none" w:sz="0" w:space="0" w:color="auto"/>
        <w:right w:val="none" w:sz="0" w:space="0" w:color="auto"/>
      </w:divBdr>
    </w:div>
    <w:div w:id="1119298991">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60028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4603</Words>
  <Characters>2625</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2021-03-25T13:52:00Z</dcterms:created>
  <dcterms:modified xsi:type="dcterms:W3CDTF">2021-03-25T13:52:00Z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