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294A" w:rsidRDefault="0001294A" w14:paraId="10A51C1C" w14:textId="77777777">
      <w:pPr>
        <w:spacing w:after="0" w:line="240" w:lineRule="auto"/>
      </w:pPr>
    </w:p>
    <w:p w:rsidR="0001294A" w:rsidRDefault="0001294A" w14:paraId="10A51C1D" w14:textId="77777777">
      <w:pPr>
        <w:spacing w:after="0" w:line="240" w:lineRule="auto"/>
      </w:pPr>
    </w:p>
    <w:p w:rsidR="0001294A" w:rsidRDefault="002321AE" w14:paraId="10A51C1E" w14:textId="77777777">
      <w:pPr>
        <w:spacing w:after="0" w:line="240" w:lineRule="auto"/>
      </w:pPr>
      <w:bookmarkStart w:name="_MailOriginal" w:id="0"/>
      <w:r>
        <w:rPr>
          <w:rFonts w:eastAsia="Times New Roman" w:cs="Calibri"/>
          <w:b/>
          <w:bCs/>
          <w:lang w:val="en-US" w:eastAsia="lv-LV"/>
        </w:rPr>
        <w:t>From:</w:t>
      </w:r>
      <w:r>
        <w:rPr>
          <w:rFonts w:eastAsia="Times New Roman" w:cs="Calibri"/>
          <w:lang w:val="en-US" w:eastAsia="lv-LV"/>
        </w:rPr>
        <w:t xml:space="preserve"> Arta Puriņa &lt;Arta.Purina@tm.gov.lv&gt; </w:t>
      </w:r>
      <w:r>
        <w:rPr>
          <w:rFonts w:eastAsia="Times New Roman" w:cs="Calibri"/>
          <w:lang w:val="en-US" w:eastAsia="lv-LV"/>
        </w:rPr>
        <w:br/>
      </w:r>
      <w:r>
        <w:rPr>
          <w:rFonts w:eastAsia="Times New Roman" w:cs="Calibri"/>
          <w:b/>
          <w:bCs/>
          <w:lang w:val="en-US" w:eastAsia="lv-LV"/>
        </w:rPr>
        <w:t>Sent:</w:t>
      </w:r>
      <w:r>
        <w:rPr>
          <w:rFonts w:eastAsia="Times New Roman" w:cs="Calibri"/>
          <w:lang w:val="en-US" w:eastAsia="lv-LV"/>
        </w:rPr>
        <w:t xml:space="preserve"> piektdiena, 2021. gada 8. janvāris 14:23</w:t>
      </w:r>
      <w:r>
        <w:rPr>
          <w:rFonts w:eastAsia="Times New Roman" w:cs="Calibri"/>
          <w:lang w:val="en-US" w:eastAsia="lv-LV"/>
        </w:rPr>
        <w:br/>
      </w:r>
      <w:r>
        <w:rPr>
          <w:rFonts w:eastAsia="Times New Roman" w:cs="Calibri"/>
          <w:b/>
          <w:bCs/>
          <w:lang w:val="en-US" w:eastAsia="lv-LV"/>
        </w:rPr>
        <w:t>To:</w:t>
      </w:r>
      <w:r>
        <w:rPr>
          <w:rFonts w:eastAsia="Times New Roman" w:cs="Calibri"/>
          <w:lang w:val="en-US" w:eastAsia="lv-LV"/>
        </w:rPr>
        <w:t xml:space="preserve"> SM Pasts &lt;SM.Pasts@sam.gov.lv&gt;; Pasts &lt;Pasts@fm.gov.lv&gt;; Parresoru koordinacijas centrs &lt;pkc@pkc.mk.gov.lv&gt;</w:t>
      </w:r>
      <w:r>
        <w:rPr>
          <w:rFonts w:eastAsia="Times New Roman" w:cs="Calibri"/>
          <w:lang w:val="en-US" w:eastAsia="lv-LV"/>
        </w:rPr>
        <w:br/>
      </w:r>
      <w:r>
        <w:rPr>
          <w:rFonts w:eastAsia="Times New Roman" w:cs="Calibri"/>
          <w:b/>
          <w:bCs/>
          <w:lang w:val="en-US" w:eastAsia="lv-LV"/>
        </w:rPr>
        <w:t>Cc:</w:t>
      </w:r>
      <w:r>
        <w:rPr>
          <w:rFonts w:eastAsia="Times New Roman" w:cs="Calibri"/>
          <w:lang w:val="en-US" w:eastAsia="lv-LV"/>
        </w:rPr>
        <w:t xml:space="preserve"> Zanda Stara </w:t>
      </w:r>
      <w:r>
        <w:rPr>
          <w:rFonts w:eastAsia="Times New Roman" w:cs="Calibri"/>
          <w:lang w:val="en-US" w:eastAsia="lv-LV"/>
        </w:rPr>
        <w:t>&lt;Zanda.Stara@TM.GOV.LV&gt;; Ilze Grīnberga &lt;Ilze.Grinberga@sam.gov.lv&gt;</w:t>
      </w:r>
      <w:r>
        <w:rPr>
          <w:rFonts w:eastAsia="Times New Roman" w:cs="Calibri"/>
          <w:lang w:val="en-US" w:eastAsia="lv-LV"/>
        </w:rPr>
        <w:br/>
      </w:r>
      <w:r>
        <w:rPr>
          <w:rFonts w:eastAsia="Times New Roman" w:cs="Calibri"/>
          <w:b/>
          <w:bCs/>
          <w:lang w:val="en-US" w:eastAsia="lv-LV"/>
        </w:rPr>
        <w:t>Subject:</w:t>
      </w:r>
      <w:r>
        <w:rPr>
          <w:rFonts w:eastAsia="Times New Roman" w:cs="Calibri"/>
          <w:lang w:val="en-US" w:eastAsia="lv-LV"/>
        </w:rPr>
        <w:t xml:space="preserve"> par VSS-999 elektronisko saskaņošanu</w:t>
      </w:r>
    </w:p>
    <w:p w:rsidR="0001294A" w:rsidRDefault="0001294A" w14:paraId="10A51C1F" w14:textId="77777777">
      <w:pPr>
        <w:spacing w:after="0" w:line="240" w:lineRule="auto"/>
        <w:rPr>
          <w:rFonts w:cs="Calibri"/>
        </w:rPr>
      </w:pPr>
    </w:p>
    <w:p w:rsidR="0001294A" w:rsidRDefault="002321AE" w14:paraId="10A51C20" w14:textId="77777777">
      <w:pPr>
        <w:spacing w:after="0" w:line="240" w:lineRule="auto"/>
        <w:ind w:firstLine="720"/>
        <w:jc w:val="both"/>
        <w:rPr>
          <w:rFonts w:ascii="Times New Roman" w:hAnsi="Times New Roman"/>
          <w:sz w:val="24"/>
          <w:szCs w:val="24"/>
        </w:rPr>
      </w:pPr>
      <w:r>
        <w:rPr>
          <w:rFonts w:ascii="Times New Roman" w:hAnsi="Times New Roman"/>
          <w:sz w:val="24"/>
          <w:szCs w:val="24"/>
        </w:rPr>
        <w:t>Labdien!</w:t>
      </w:r>
    </w:p>
    <w:p w:rsidR="0001294A" w:rsidRDefault="002321AE" w14:paraId="10A51C21" w14:textId="77777777">
      <w:pPr>
        <w:spacing w:after="0" w:line="240" w:lineRule="auto"/>
        <w:ind w:firstLine="720"/>
        <w:jc w:val="both"/>
        <w:rPr>
          <w:rFonts w:ascii="Times New Roman" w:hAnsi="Times New Roman"/>
          <w:sz w:val="24"/>
          <w:szCs w:val="24"/>
        </w:rPr>
      </w:pPr>
      <w:r>
        <w:rPr>
          <w:rFonts w:ascii="Times New Roman" w:hAnsi="Times New Roman"/>
          <w:sz w:val="24"/>
          <w:szCs w:val="24"/>
        </w:rPr>
        <w:t>Tieslietu ministrija ir atkārtoti izvērtējusi Satiksmes ministrijas precizēto Ministru kabineta rīkojuma projektu “Grozījumi Ministr</w:t>
      </w:r>
      <w:r>
        <w:rPr>
          <w:rFonts w:ascii="Times New Roman" w:hAnsi="Times New Roman"/>
          <w:sz w:val="24"/>
          <w:szCs w:val="24"/>
        </w:rPr>
        <w:t>u kabineta 2013. gada 4. jūnija rīkojumā Nr. 229 “Par valsts nekustamo īpašumu ieguldīšanu valsts akciju sabiedrības “Latvijas dzelzceļš” pamatkapitālā”” (VSS-999) (turpmāk – rīkojuma projekts), tā sākotnējās ietekmes novērtējuma ziņojumu (anotāciju) un iz</w:t>
      </w:r>
      <w:r>
        <w:rPr>
          <w:rFonts w:ascii="Times New Roman" w:hAnsi="Times New Roman"/>
          <w:sz w:val="24"/>
          <w:szCs w:val="24"/>
        </w:rPr>
        <w:t>ziņu par atzinumos izteiktajiem iebildumiem, un atbalsta rīkojuma projekta tālāku virzību, izsakot šādu iebildumu.</w:t>
      </w:r>
    </w:p>
    <w:p w:rsidR="0001294A" w:rsidRDefault="002321AE" w14:paraId="10A51C22" w14:textId="77777777">
      <w:pPr>
        <w:spacing w:after="0" w:line="240" w:lineRule="auto"/>
        <w:ind w:firstLine="720"/>
        <w:jc w:val="both"/>
        <w:rPr>
          <w:rFonts w:ascii="Times New Roman" w:hAnsi="Times New Roman"/>
          <w:sz w:val="24"/>
          <w:szCs w:val="24"/>
        </w:rPr>
      </w:pPr>
      <w:r>
        <w:rPr>
          <w:rFonts w:ascii="Times New Roman" w:hAnsi="Times New Roman"/>
          <w:sz w:val="24"/>
          <w:szCs w:val="24"/>
        </w:rPr>
        <w:t>Saskaņā ar Publiskas personas mantas atsavināšanas likuma 5. panta piekto daļu lēmumā par nekustamā īpašuma atsavināšanu tiek noteikts arī at</w:t>
      </w:r>
      <w:r>
        <w:rPr>
          <w:rFonts w:ascii="Times New Roman" w:hAnsi="Times New Roman"/>
          <w:sz w:val="24"/>
          <w:szCs w:val="24"/>
        </w:rPr>
        <w:t>savināšanas veids un, ja nepieciešams, nekustamā īpašuma turpmākas izmantošanas nosacījumi un atsavināšanas tiesību aprobežojumi.</w:t>
      </w:r>
    </w:p>
    <w:p w:rsidR="0001294A" w:rsidRDefault="002321AE" w14:paraId="10A51C23" w14:textId="77777777">
      <w:pPr>
        <w:spacing w:after="0" w:line="240" w:lineRule="auto"/>
        <w:ind w:firstLine="720"/>
        <w:jc w:val="both"/>
        <w:rPr>
          <w:rFonts w:ascii="Times New Roman" w:hAnsi="Times New Roman"/>
          <w:sz w:val="24"/>
          <w:szCs w:val="24"/>
        </w:rPr>
      </w:pPr>
      <w:r>
        <w:rPr>
          <w:rFonts w:ascii="Times New Roman" w:hAnsi="Times New Roman"/>
          <w:sz w:val="24"/>
          <w:szCs w:val="24"/>
        </w:rPr>
        <w:t>Ministru kabineta 2013. gada 4. jūnija rīkojuma Nr. 229 “Par valsts nekustamo īpašumu ieguldīšanu valsts akciju sabiedrības “L</w:t>
      </w:r>
      <w:r>
        <w:rPr>
          <w:rFonts w:ascii="Times New Roman" w:hAnsi="Times New Roman"/>
          <w:sz w:val="24"/>
          <w:szCs w:val="24"/>
        </w:rPr>
        <w:t>atvijas dzelzceļš” pamatkapitālā” 2. punkts paredz, ka Satiksmes ministrijai kā valsts kapitāla daļu turētājai nodrošināt, ka šā rīkojuma 1. punktā minētie valsts nekustamie īpašumi bez atlīdzības tiek nodoti atpakaļ, ja tie atbilstoši Komerclikumā noteikt</w:t>
      </w:r>
      <w:r>
        <w:rPr>
          <w:rFonts w:ascii="Times New Roman" w:hAnsi="Times New Roman"/>
          <w:sz w:val="24"/>
          <w:szCs w:val="24"/>
        </w:rPr>
        <w:t>ajām normām vairs nav nepieciešami valsts akciju sabiedrības “Latvijas dzelzceļš” funkciju īstenošanai.</w:t>
      </w:r>
    </w:p>
    <w:p w:rsidR="0001294A" w:rsidRDefault="002321AE" w14:paraId="10A51C24" w14:textId="77777777">
      <w:pPr>
        <w:spacing w:after="0" w:line="240" w:lineRule="auto"/>
        <w:ind w:firstLine="720"/>
        <w:jc w:val="both"/>
        <w:rPr>
          <w:rFonts w:ascii="Times New Roman" w:hAnsi="Times New Roman"/>
          <w:sz w:val="24"/>
          <w:szCs w:val="24"/>
        </w:rPr>
      </w:pPr>
      <w:r>
        <w:rPr>
          <w:rFonts w:ascii="Times New Roman" w:hAnsi="Times New Roman"/>
          <w:sz w:val="24"/>
          <w:szCs w:val="24"/>
        </w:rPr>
        <w:t>Tātad īpašuma tiesības ir aprobežotas ar nosacījumu, kas iestājas atkarībā no nekustamā īpašuma ieguvēja gribas, proti, vai nekustamais īpašums ir nepie</w:t>
      </w:r>
      <w:r>
        <w:rPr>
          <w:rFonts w:ascii="Times New Roman" w:hAnsi="Times New Roman"/>
          <w:sz w:val="24"/>
          <w:szCs w:val="24"/>
        </w:rPr>
        <w:t>ciešams kapitālsabiedrības funkciju īstenošanai.</w:t>
      </w:r>
    </w:p>
    <w:p w:rsidR="0001294A" w:rsidRDefault="002321AE" w14:paraId="10A51C25" w14:textId="77777777">
      <w:pPr>
        <w:spacing w:after="0" w:line="240" w:lineRule="auto"/>
        <w:ind w:firstLine="720"/>
        <w:jc w:val="both"/>
        <w:rPr>
          <w:rFonts w:ascii="Times New Roman" w:hAnsi="Times New Roman"/>
          <w:sz w:val="24"/>
          <w:szCs w:val="24"/>
        </w:rPr>
      </w:pPr>
      <w:r>
        <w:rPr>
          <w:rFonts w:ascii="Times New Roman" w:hAnsi="Times New Roman"/>
          <w:sz w:val="24"/>
          <w:szCs w:val="24"/>
        </w:rPr>
        <w:t>Atbilstoši Civillikuma 1549. pantam nosacījums ir tāds blakus noteikums, ar kuru līguma spēks darīts atkarīgs no kāda nākoša un nezināma vai vismaz par tādu domājama notikuma. Tātad, ja nekustamais īpašums v</w:t>
      </w:r>
      <w:r>
        <w:rPr>
          <w:rFonts w:ascii="Times New Roman" w:hAnsi="Times New Roman"/>
          <w:sz w:val="24"/>
          <w:szCs w:val="24"/>
        </w:rPr>
        <w:t xml:space="preserve">airs nav nepieciešams kapitālsabiedrības funkciju īstenošanai ir zudis pamats, kāpēc nekustamie īpašumi sākotnēji bija ieguldīti kapitālsabiedrības pamatkapitālā, līdz ar to tikai pēc nosacījuma iestāšanās ir pamats bezatlīdzības nekustamos īpašumus nodot </w:t>
      </w:r>
      <w:r>
        <w:rPr>
          <w:rFonts w:ascii="Times New Roman" w:hAnsi="Times New Roman"/>
          <w:sz w:val="24"/>
          <w:szCs w:val="24"/>
        </w:rPr>
        <w:t>atpakaļ valstij, dzēšot tos no pamatkapitāla ar valstij piederošajām pamatkapitāla daļām.</w:t>
      </w:r>
    </w:p>
    <w:p w:rsidR="0001294A" w:rsidRDefault="002321AE" w14:paraId="10A51C26" w14:textId="77777777">
      <w:pPr>
        <w:spacing w:after="0" w:line="240" w:lineRule="auto"/>
        <w:ind w:firstLine="720"/>
        <w:jc w:val="both"/>
        <w:rPr>
          <w:rFonts w:ascii="Times New Roman" w:hAnsi="Times New Roman"/>
          <w:sz w:val="24"/>
          <w:szCs w:val="24"/>
        </w:rPr>
      </w:pPr>
      <w:r>
        <w:rPr>
          <w:rFonts w:ascii="Times New Roman" w:hAnsi="Times New Roman"/>
          <w:sz w:val="24"/>
          <w:szCs w:val="24"/>
        </w:rPr>
        <w:t xml:space="preserve">Zemesgrāmatu likuma 44. panta otrā daļa paredz, ka atzīmju veidā nostiprina tiesību nodrošinājumus un aprobežojumus. Tātad atzīme kalpo kā tiesību nodrošinājums, bet </w:t>
      </w:r>
      <w:r>
        <w:rPr>
          <w:rFonts w:ascii="Times New Roman" w:hAnsi="Times New Roman"/>
          <w:sz w:val="24"/>
          <w:szCs w:val="24"/>
        </w:rPr>
        <w:t>tās dzēšana iespējama, ja par to nostiprinātā tiesība ir izbeigusies, ko nevar secināt konkrētajā situācijā.</w:t>
      </w:r>
    </w:p>
    <w:p w:rsidR="0001294A" w:rsidRDefault="002321AE" w14:paraId="10A51C27" w14:textId="77777777">
      <w:pPr>
        <w:spacing w:after="0" w:line="240" w:lineRule="auto"/>
        <w:ind w:firstLine="720"/>
        <w:jc w:val="both"/>
        <w:rPr>
          <w:rFonts w:ascii="Times New Roman" w:hAnsi="Times New Roman"/>
          <w:sz w:val="24"/>
          <w:szCs w:val="24"/>
        </w:rPr>
      </w:pPr>
      <w:r>
        <w:rPr>
          <w:rFonts w:ascii="Times New Roman" w:hAnsi="Times New Roman"/>
          <w:sz w:val="24"/>
          <w:szCs w:val="24"/>
        </w:rPr>
        <w:t>Tieslietu ministrija var pievienoties Pārresoru koordinācijas centra iebildumos norādītajam, ka Ministru kabineta 2013. gada 4. jūnija rīkojums Nr.</w:t>
      </w:r>
      <w:r>
        <w:rPr>
          <w:rFonts w:ascii="Times New Roman" w:hAnsi="Times New Roman"/>
          <w:sz w:val="24"/>
          <w:szCs w:val="24"/>
        </w:rPr>
        <w:t xml:space="preserve"> 229 ir izpildīts un tādējādi uz to nevar attiecināt sekas, kas izriet no jaunāka tiesību akta. Turklāt norādāms, ka publiskajās tiesībās darbojas tiesību normu tūlītējs spēks, kas ir attiecināms uz faktiskajiem apstākļiem, kas iestājas pēc tiesību normas </w:t>
      </w:r>
      <w:r>
        <w:rPr>
          <w:rFonts w:ascii="Times New Roman" w:hAnsi="Times New Roman"/>
          <w:sz w:val="24"/>
          <w:szCs w:val="24"/>
        </w:rPr>
        <w:t>pieņemšanas, nevis uz atpakaļejošs spēks, kas varētu ietekmēt jau nodibinātas attiecības.</w:t>
      </w:r>
    </w:p>
    <w:p w:rsidR="0001294A" w:rsidRDefault="002321AE" w14:paraId="10A51C28" w14:textId="77777777">
      <w:pPr>
        <w:spacing w:after="0" w:line="240" w:lineRule="auto"/>
        <w:ind w:firstLine="720"/>
        <w:jc w:val="both"/>
        <w:rPr>
          <w:rFonts w:ascii="Times New Roman" w:hAnsi="Times New Roman"/>
          <w:sz w:val="24"/>
          <w:szCs w:val="24"/>
        </w:rPr>
      </w:pPr>
      <w:r>
        <w:rPr>
          <w:rFonts w:ascii="Times New Roman" w:hAnsi="Times New Roman"/>
          <w:sz w:val="24"/>
          <w:szCs w:val="24"/>
        </w:rPr>
        <w:t>Savukārt, ja ir mainījušies kādi faktiskie apstākļi, kas būtu par pamatu zemesgrāmatā ierakstīto atzīmju dzēšanai, tad minētie apstākļi ir izvērtējami un šis izvērtēj</w:t>
      </w:r>
      <w:r>
        <w:rPr>
          <w:rFonts w:ascii="Times New Roman" w:hAnsi="Times New Roman"/>
          <w:sz w:val="24"/>
          <w:szCs w:val="24"/>
        </w:rPr>
        <w:t>ums ir jāatspoguļo anotācijā.</w:t>
      </w:r>
    </w:p>
    <w:p w:rsidR="0001294A" w:rsidRDefault="002321AE" w14:paraId="10A51C29" w14:textId="77777777">
      <w:pPr>
        <w:spacing w:after="0" w:line="240" w:lineRule="auto"/>
        <w:ind w:firstLine="720"/>
        <w:jc w:val="both"/>
        <w:rPr>
          <w:rFonts w:ascii="Times New Roman" w:hAnsi="Times New Roman"/>
          <w:sz w:val="24"/>
          <w:szCs w:val="24"/>
        </w:rPr>
      </w:pPr>
      <w:r>
        <w:rPr>
          <w:rFonts w:ascii="Times New Roman" w:hAnsi="Times New Roman"/>
          <w:sz w:val="24"/>
          <w:szCs w:val="24"/>
        </w:rPr>
        <w:lastRenderedPageBreak/>
        <w:t xml:space="preserve">Ņemot vērā minēto, lūdzam papildināt anotāciju ar izvērstu skaidrojumu, kādi apstākļi ir mainījušies, kā rezultātā varētu prezumēt, ka zemesgrāmatā nostiprinātās tiesības saistībā ar kapitālsabiedrības pamatkapitālā ieguldīto </w:t>
      </w:r>
      <w:r>
        <w:rPr>
          <w:rFonts w:ascii="Times New Roman" w:hAnsi="Times New Roman"/>
          <w:sz w:val="24"/>
          <w:szCs w:val="24"/>
        </w:rPr>
        <w:t xml:space="preserve">nekustamo īpašumu atgūšanu valsts īpašumā vairs nav aktuālas, piemēram, nekustamais īpašums vairs nav nepieciešams ne konkrētajai kapitālsabiedrībai, ne arī valstij. Šim izvērtējumam būtu jābūt individuālam par katru konkrēto īpašumu. </w:t>
      </w:r>
    </w:p>
    <w:p w:rsidR="0001294A" w:rsidRDefault="0001294A" w14:paraId="10A51C2A" w14:textId="77777777">
      <w:pPr>
        <w:spacing w:after="0" w:line="240" w:lineRule="auto"/>
        <w:ind w:firstLine="720"/>
        <w:jc w:val="both"/>
        <w:rPr>
          <w:rFonts w:ascii="Times New Roman" w:hAnsi="Times New Roman"/>
          <w:sz w:val="24"/>
          <w:szCs w:val="24"/>
        </w:rPr>
      </w:pPr>
    </w:p>
    <w:p w:rsidR="0001294A" w:rsidRDefault="0001294A" w14:paraId="10A51C2B" w14:textId="77777777">
      <w:pPr>
        <w:spacing w:after="0" w:line="240" w:lineRule="auto"/>
        <w:rPr>
          <w:rFonts w:cs="Calibri"/>
        </w:rPr>
      </w:pPr>
    </w:p>
    <w:p w:rsidR="0001294A" w:rsidRDefault="002321AE" w14:paraId="10A51C2C" w14:textId="77777777">
      <w:pPr>
        <w:spacing w:after="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Arta Puriņa</w:t>
      </w:r>
    </w:p>
    <w:p w:rsidR="0001294A" w:rsidRDefault="002321AE" w14:paraId="10A51C2D" w14:textId="77777777">
      <w:pPr>
        <w:spacing w:after="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Tieslietu ministrijas</w:t>
      </w:r>
    </w:p>
    <w:p w:rsidR="0001294A" w:rsidRDefault="002321AE" w14:paraId="10A51C2E" w14:textId="77777777">
      <w:pPr>
        <w:spacing w:after="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Civiltiesību departamenta</w:t>
      </w:r>
    </w:p>
    <w:p w:rsidR="0001294A" w:rsidRDefault="002321AE" w14:paraId="10A51C2F" w14:textId="77777777">
      <w:pPr>
        <w:spacing w:after="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Vispārējo civiltiesību nodaļas juriste</w:t>
      </w:r>
    </w:p>
    <w:p w:rsidR="0001294A" w:rsidRDefault="002321AE" w14:paraId="10A51C30" w14:textId="77777777">
      <w:pPr>
        <w:spacing w:after="0" w:line="240" w:lineRule="auto"/>
      </w:pPr>
      <w:r>
        <w:rPr>
          <w:rFonts w:ascii="Times New Roman" w:hAnsi="Times New Roman"/>
          <w:color w:val="000000"/>
          <w:sz w:val="24"/>
          <w:szCs w:val="24"/>
          <w:lang w:eastAsia="en-GB"/>
        </w:rPr>
        <w:t xml:space="preserve">67036819, </w:t>
      </w:r>
      <w:hyperlink w:history="1" r:id="rId6">
        <w:r>
          <w:rPr>
            <w:rFonts w:ascii="Times New Roman" w:hAnsi="Times New Roman"/>
            <w:color w:val="0563C1"/>
            <w:sz w:val="24"/>
            <w:szCs w:val="24"/>
            <w:u w:val="single"/>
            <w:lang w:eastAsia="en-GB"/>
          </w:rPr>
          <w:t>arta.purina@tm.gov.lv</w:t>
        </w:r>
      </w:hyperlink>
    </w:p>
    <w:p w:rsidR="0001294A" w:rsidRDefault="0001294A" w14:paraId="10A51C31" w14:textId="77777777">
      <w:pPr>
        <w:spacing w:after="0" w:line="240" w:lineRule="auto"/>
        <w:rPr>
          <w:rFonts w:cs="Calibri"/>
          <w:color w:val="000000"/>
          <w:sz w:val="24"/>
          <w:szCs w:val="24"/>
          <w:lang w:eastAsia="en-GB"/>
        </w:rPr>
      </w:pPr>
    </w:p>
    <w:p w:rsidR="0001294A" w:rsidRDefault="002321AE" w14:paraId="10A51C32" w14:textId="77777777">
      <w:pPr>
        <w:spacing w:after="0" w:line="240" w:lineRule="auto"/>
      </w:pPr>
      <w:r>
        <w:rPr>
          <w:rFonts w:cs="Calibri"/>
          <w:noProof/>
          <w:lang w:eastAsia="en-GB"/>
        </w:rPr>
        <w:drawing>
          <wp:inline distT="0" distB="0" distL="0" distR="0" wp14:anchorId="10A51C1C" wp14:editId="10A51C1D">
            <wp:extent cx="1250954" cy="984251"/>
            <wp:effectExtent l="0" t="0" r="6346" b="6349"/>
            <wp:docPr id="1" name="Picture 2" descr="39Bo+G+WeJQzkUAAAAAElFTkSuQmCC"/>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250954" cy="984251"/>
                    </a:xfrm>
                    <a:prstGeom prst="rect">
                      <a:avLst/>
                    </a:prstGeom>
                    <a:noFill/>
                    <a:ln>
                      <a:noFill/>
                      <a:prstDash/>
                    </a:ln>
                  </pic:spPr>
                </pic:pic>
              </a:graphicData>
            </a:graphic>
          </wp:inline>
        </w:drawing>
      </w:r>
    </w:p>
    <w:p w:rsidR="0001294A" w:rsidRDefault="002321AE" w14:paraId="10A51C33" w14:textId="77777777">
      <w:pPr>
        <w:spacing w:after="0" w:line="240" w:lineRule="auto"/>
        <w:rPr>
          <w:rFonts w:cs="Calibri"/>
          <w:b/>
          <w:bCs/>
          <w:i/>
          <w:iCs/>
          <w:color w:val="002060"/>
          <w:lang w:eastAsia="en-GB"/>
        </w:rPr>
      </w:pPr>
      <w:r>
        <w:rPr>
          <w:rFonts w:cs="Calibri"/>
          <w:b/>
          <w:bCs/>
          <w:i/>
          <w:iCs/>
          <w:color w:val="002060"/>
          <w:lang w:eastAsia="en-GB"/>
        </w:rPr>
        <w:t> </w:t>
      </w:r>
    </w:p>
    <w:p w:rsidR="0001294A" w:rsidRDefault="002321AE" w14:paraId="10A51C34" w14:textId="77777777">
      <w:pPr>
        <w:spacing w:after="0" w:line="240" w:lineRule="auto"/>
        <w:rPr>
          <w:rFonts w:cs="Calibri"/>
          <w:b/>
          <w:bCs/>
          <w:i/>
          <w:iCs/>
          <w:color w:val="002060"/>
          <w:lang w:eastAsia="en-GB"/>
        </w:rPr>
      </w:pPr>
      <w:r>
        <w:rPr>
          <w:rFonts w:cs="Calibri"/>
          <w:b/>
          <w:bCs/>
          <w:i/>
          <w:iCs/>
          <w:color w:val="002060"/>
          <w:lang w:eastAsia="en-GB"/>
        </w:rPr>
        <w:t> </w:t>
      </w:r>
    </w:p>
    <w:p w:rsidR="0001294A" w:rsidRDefault="002321AE" w14:paraId="10A51C35" w14:textId="77777777">
      <w:pPr>
        <w:spacing w:after="0" w:line="240" w:lineRule="auto"/>
      </w:pPr>
      <w:r>
        <w:rPr>
          <w:rFonts w:cs="Calibri"/>
          <w:noProof/>
          <w:lang w:eastAsia="en-GB"/>
        </w:rPr>
        <w:drawing>
          <wp:inline distT="0" distB="0" distL="0" distR="0" wp14:anchorId="10A51C1E" wp14:editId="10A51C1F">
            <wp:extent cx="1466853" cy="806445"/>
            <wp:effectExtent l="0" t="0" r="0" b="0"/>
            <wp:docPr id="2" name="Picture 1" descr="EXS6mtmgAAAABJRU5ErkJgg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466853" cy="806445"/>
                    </a:xfrm>
                    <a:prstGeom prst="rect">
                      <a:avLst/>
                    </a:prstGeom>
                    <a:noFill/>
                    <a:ln>
                      <a:noFill/>
                      <a:prstDash/>
                    </a:ln>
                  </pic:spPr>
                </pic:pic>
              </a:graphicData>
            </a:graphic>
          </wp:inline>
        </w:drawing>
      </w:r>
    </w:p>
    <w:p w:rsidR="0001294A" w:rsidRDefault="0001294A" w14:paraId="10A51C36" w14:textId="77777777">
      <w:pPr>
        <w:spacing w:after="0" w:line="240" w:lineRule="auto"/>
        <w:rPr>
          <w:rFonts w:cs="Calibri"/>
        </w:rPr>
      </w:pPr>
    </w:p>
    <w:p w:rsidR="0001294A" w:rsidRDefault="0001294A" w14:paraId="10A51C37" w14:textId="77777777">
      <w:pPr>
        <w:spacing w:after="0" w:line="240" w:lineRule="auto"/>
        <w:ind w:firstLine="720"/>
        <w:jc w:val="both"/>
        <w:rPr>
          <w:rFonts w:ascii="Times New Roman" w:hAnsi="Times New Roman"/>
          <w:sz w:val="24"/>
          <w:szCs w:val="24"/>
        </w:rPr>
      </w:pPr>
    </w:p>
    <w:p w:rsidR="0001294A" w:rsidRDefault="0001294A" w14:paraId="10A51C38" w14:textId="77777777">
      <w:pPr>
        <w:spacing w:after="0" w:line="240" w:lineRule="auto"/>
        <w:ind w:firstLine="720"/>
        <w:jc w:val="both"/>
        <w:rPr>
          <w:rFonts w:ascii="Times New Roman" w:hAnsi="Times New Roman"/>
          <w:sz w:val="24"/>
          <w:szCs w:val="24"/>
        </w:rPr>
      </w:pPr>
    </w:p>
    <w:p w:rsidR="0001294A" w:rsidRDefault="0001294A" w14:paraId="10A51C39" w14:textId="77777777">
      <w:pPr>
        <w:spacing w:after="0" w:line="240" w:lineRule="auto"/>
        <w:rPr>
          <w:rFonts w:eastAsia="Times New Roman" w:cs="Calibri"/>
          <w:lang w:eastAsia="lv-LV"/>
        </w:rPr>
      </w:pPr>
    </w:p>
    <w:p w:rsidR="0001294A" w:rsidRDefault="002321AE" w14:paraId="10A51C3A" w14:textId="77777777">
      <w:pPr>
        <w:spacing w:after="0" w:line="240" w:lineRule="auto"/>
        <w:rPr>
          <w:rFonts w:ascii="Arial" w:hAnsi="Arial" w:eastAsia="Times New Roman" w:cs="Arial"/>
          <w:b/>
          <w:bCs/>
          <w:i/>
          <w:iCs/>
          <w:color w:val="002060"/>
          <w:lang w:eastAsia="lv-LV"/>
        </w:rPr>
      </w:pPr>
      <w:r>
        <w:rPr>
          <w:rFonts w:ascii="Arial" w:hAnsi="Arial" w:eastAsia="Times New Roman" w:cs="Arial"/>
          <w:b/>
          <w:bCs/>
          <w:i/>
          <w:iCs/>
          <w:color w:val="002060"/>
          <w:lang w:eastAsia="lv-LV"/>
        </w:rPr>
        <w:t xml:space="preserve">Šis e-pasts un tā pielikumā esošie dokumenti var saturēt </w:t>
      </w:r>
      <w:r>
        <w:rPr>
          <w:rFonts w:ascii="Arial" w:hAnsi="Arial" w:eastAsia="Times New Roman" w:cs="Arial"/>
          <w:b/>
          <w:bCs/>
          <w:i/>
          <w:iCs/>
          <w:color w:val="002060"/>
          <w:lang w:eastAsia="lv-LV"/>
        </w:rPr>
        <w:t>ierobežotas pieejamības informāciju, cita starpā fizisko personu datus, kas adresēta tikai tā saņēmējam un izmantojama tikai leģitīmiem mērķiem. Ja esat saņēmis šo e-pastu kļūdas dēļ, vai nav pamatota mērķa ierobežotas pieejamības informācijas, cita starpā</w:t>
      </w:r>
      <w:r>
        <w:rPr>
          <w:rFonts w:ascii="Arial" w:hAnsi="Arial" w:eastAsia="Times New Roman" w:cs="Arial"/>
          <w:b/>
          <w:bCs/>
          <w:i/>
          <w:iCs/>
          <w:color w:val="002060"/>
          <w:lang w:eastAsia="lv-LV"/>
        </w:rPr>
        <w:t xml:space="preserve"> fizisko personu datu, apstrādei, Jums nav tiesību izmantot vai pārsūtīt šajā e-pastā un tam pievienotajos dokumentos ietverto informāciju. Šādā gadījumā nekavējoties neatgriezeniski izdzēsiet šo e-pastu.</w:t>
      </w:r>
      <w:bookmarkEnd w:id="0"/>
    </w:p>
    <w:p w:rsidR="0001294A" w:rsidRDefault="0001294A" w14:paraId="10A51C3B" w14:textId="77777777"/>
    <w:sectPr w:rsidR="0001294A">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51C24" w14:textId="77777777" w:rsidR="00000000" w:rsidRDefault="002321AE">
      <w:pPr>
        <w:spacing w:after="0" w:line="240" w:lineRule="auto"/>
      </w:pPr>
      <w:r>
        <w:separator/>
      </w:r>
    </w:p>
  </w:endnote>
  <w:endnote w:type="continuationSeparator" w:id="0">
    <w:p w14:paraId="10A51C26" w14:textId="77777777" w:rsidR="00000000" w:rsidRDefault="00232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51C28" w14:textId="77777777" w:rsidR="00E964B5" w:rsidRDefault="002321AE">
    <w:pPr>
      <w:pStyle w:val="Footer"/>
    </w:pPr>
    <w:r>
      <w:t>TMAtz_080121_VSS-999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51C20" w14:textId="77777777" w:rsidR="00000000" w:rsidRDefault="002321AE">
      <w:pPr>
        <w:spacing w:after="0" w:line="240" w:lineRule="auto"/>
      </w:pPr>
      <w:r>
        <w:rPr>
          <w:color w:val="000000"/>
        </w:rPr>
        <w:separator/>
      </w:r>
    </w:p>
  </w:footnote>
  <w:footnote w:type="continuationSeparator" w:id="0">
    <w:p w14:paraId="10A51C22" w14:textId="77777777" w:rsidR="00000000" w:rsidRDefault="002321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1294A"/>
    <w:rsid w:val="0001294A"/>
    <w:rsid w:val="002321A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51C1C"/>
  <w15:docId w15:val="{C3406C0B-6188-4D83-B7CB-F0E56078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rta.purina@tm.gov.l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2863</Words>
  <Characters>1632</Characters>
  <Application>Microsoft Office Word</Application>
  <DocSecurity>0</DocSecurity>
  <Lines>13</Lines>
  <Paragraphs>8</Paragraphs>
  <ScaleCrop>false</ScaleCrop>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Grīnberga</dc:creator>
  <dc:description/>
  <cp:lastModifiedBy>Ilze Grīnberga</cp:lastModifiedBy>
  <cp:revision>2</cp:revision>
  <dcterms:created xsi:type="dcterms:W3CDTF">2021-06-30T06:35:00Z</dcterms:created>
  <dcterms:modified xsi:type="dcterms:W3CDTF">2021-06-30T06:35:00Z</dcterms:modified>
</cp:coreProperties>
</file>