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Radiofrekvences piešķīruma lietošanas atļauju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06.02.2023.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06.02.2023.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