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izvērtēta par vardarbību sodītas personas atbilstība darbam, brīvprātīgajam darbam vai pakalpojuma sniegšanai bērnu iestādēs un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4.sadaļas 4.1.1.apakšpunktā “Pamatojums un apraksts” norādīt Ministru kabineta 2011.gada 3.maija noteikumu “Kārtība, kādā plānojami un uzskaitāmi ieņēmumi no maksas pakalpojumiem un ar šo pakalpojumu sniegšanu saistītie izdevumi, kā arī maksas pakalpojumu izcenojumu noteikšanas metodika un izcenojuma apstiprināšanas kārtība” numuru, t.i. Nr.333.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11.05.2023.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11.05.2023.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Atzinumi_21-TA-1498.docx</dc:title>
</cp:coreProperties>
</file>

<file path=docProps/custom.xml><?xml version="1.0" encoding="utf-8"?>
<Properties xmlns="http://schemas.openxmlformats.org/officeDocument/2006/custom-properties" xmlns:vt="http://schemas.openxmlformats.org/officeDocument/2006/docPropsVTypes"/>
</file>