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28.16. projekta vadības personāla izmaksas, kas radušās uz darba līguma vai uzņēmuma (pakalpojuma) līguma pamata, tai skaitā valsts sociālās apdrošināšanas obligātās iemaksas no apliekamajām attiecināmajām izmaksām, ņemot vērā,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28.16. un 28.17.apakšpunktus, paredzot personāla izmaksas kā attiecināmās izmaksas, kas radušās uz rīkojuma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28.16.2. tās nepārsniedz 34 422 </w:t>
            </w:r>
            <w:r w:rsidR="00000000" w:rsidRPr="00000000" w:rsidDel="00000000">
              <w:rPr>
                <w:i w:val="1"/>
                <w:rtl w:val="0"/>
              </w:rPr>
              <w:t xml:space="preserve">euro </w:t>
            </w:r>
            <w:r w:rsidR="00000000" w:rsidRPr="00000000" w:rsidDel="00000000">
              <w:rPr>
                <w:rtl w:val="0"/>
              </w:rPr>
              <w:t xml:space="preserve">gadā, ja projekta tiešās attiecināmās izmaksas ir līdz 5 000 000 </w:t>
            </w:r>
            <w:r w:rsidR="00000000" w:rsidRPr="00000000" w:rsidDel="00000000">
              <w:rPr>
                <w:i w:val="1"/>
                <w:rtl w:val="0"/>
              </w:rPr>
              <w:t xml:space="preserve">euro</w:t>
            </w:r>
            <w:r w:rsidR="00000000" w:rsidRPr="00000000" w:rsidDel="00000000">
              <w:rPr>
                <w:rtl w:val="0"/>
              </w:rPr>
              <w:t xml:space="preserve">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redakciju ar attiecināmības vadlīnijās minēto, kur it noteikts, ka projektos, kuros tiešās attiecināmās izmaksas ir līdz 5 milj. EUR (ieskaitot), ierobežojums tiek aprēķināts pie minimālo izmaksu bāzes 34 422 EUR kalendārajā gadā, pieskaitot 0,64% no projekta tiešajām attiecināmajām izmaksām, neieskaitot tiešās projekta vadības personāla izmaksas, un summu reizinot ar projekta ilgumu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Projekta netiešās attiecināmās izmaksas ir finansējuma saņēmēja projekta vadības personāla administratīvās izmaksas, un tās plāno kā vienu izmaksu pozīciju, piemērojot netiešo izmaksu vienoto likmi 15 procentu apmērā no šo noteikumu </w:t>
            </w:r>
            <w:r w:rsidR="00000000" w:rsidRPr="00000000" w:rsidDel="00000000">
              <w:rPr>
                <w:rtl w:val="0"/>
              </w:rPr>
              <w:t xml:space="preserve">28.16. </w:t>
            </w:r>
            <w:r w:rsidR="00000000" w:rsidRPr="00000000" w:rsidDel="00000000">
              <w:rPr>
                <w:rtl w:val="0"/>
              </w:rPr>
              <w:t xml:space="preserve">apakšpunktā</w:t>
            </w:r>
            <w:r w:rsidR="00000000" w:rsidRPr="00000000" w:rsidDel="00000000">
              <w:rPr>
                <w:rtl w:val="0"/>
              </w:rPr>
              <w:t xml:space="preserve"> minētajām tiešajām attiecināmajām projekta vadības personāla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netiešās izmaksas ir plānotas tikai projekta vadības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netiešās izmaksas tiek aprēķinātas no personāla izmaksām, iekļaujot arī projekta īstenošanas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attiecināmības un vienkāršoto izmaksu vadlīnijām, ja vienoto likmi piemēro projekta vadības un īstenošanas personāla izmaksām, kuras aprēķinātas izmantojot faktisko izmaksu metodi, netiešo izmaksu aprēķina bāzē netiek iekļautas projekta vadības vai īstenošanas personāla izmaksas, kas radušās uz uzņēmuma (pakalpojuma) līguma pamata, kā arī kompensācijas un apdrošināšana, kas ietilpst personāla izmaksu sociālajās garantijās.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šobrīd tiek skaņoti kārtējie grozījumi Kohēzijas programmā 2021.-2027. gadam, kuri, cita starpā, paredz izmaiņas arī 1.3.1.1. pasākuma finansējumā un uzraudzības rādītājos, kuri stājas spēkā ar MK noteikumu apstiprināšanu.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precizējumus noteikumu projekta 21.punktā, kas paredz, ka biedrības un nodibinājumi arī var būt projekta iesniedzēji un finansējuma saņēmēji, lūdzam anotāciju papildināt ar izvērtējumu vai biedrībām un nodibinājumiem paredzēts sniegt komercdarbības atbalstu projekta ietvaros, kā arī aicinām papildināt noteikumu projektu ar pienākumu, ka gadījumā, ja biedrība vai nodibinājums veic arī citas darbības, tas nodrošina izmaksu un darbību nošķiršanu, lai nodrošinātu, ka darbības citās jomās, tostarp, iespējams, saimnieciskas darbības, negūtu labumu no atbalsta, kas piešķirts nesaimniecisko deleģēto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sadaļā iekļauto skaidrojumu par avansa un starpposma maksājuma 100% apmēru ar tiesisko pamatojumu - ar atsauci uz Ministru kabineta 2023. gada 25. aprīļa noteikumu Nr. 205 “Valsts budžeta līdzekļu plānošanas kārtība Eiropas Savienības fondu projektu īstenošanai un maksājumu veikšanai 2021.–2027. gada plānošanas periodā” 17.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anotācijas sadaļu, kurā ir minēta informācija par personāla izmaksu attiecināšanu un vienkāršotajām izmaksām ar informāciju attiecībā uz vienotās likmes piemērošanas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