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20. februāra noteikumos Nr. 118 "Eiropas Savienības kohēzijas politikas programmas 2021.–2027. gadam 2.1.3. specifiskā atbalsta mērķa "Veicināt pielāgošanos klimata pārmaiņām, risku novēršanu un noturību pret katastrofām" 2.1.3.3. pasākuma "Katastrofu risku mazināšanas pasākumi"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trešās kārtas pieejamais finansējums ir 55 537 217 euro (no tā elastības finansējums – 7 811 530 euro), tai skaitā Eiropas Reģionālās attīstības fonda finansējums – 47 206 634 euro (no tā elastības finansējums – 6 639 801 euro) un valsts budžeta līdzfinansējums – 8 330 583 euro (no tā elastības finansējums – 1 171 729 euro), nodrošinot, ka Eiropas Reģionālās attīstības fonda atbalsta intensitāte nepārsniedz 85 procentus no projekta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2024. gada 20. februāra noteikumu Nr. 118 "Eiropas Savienības kohēzijas politikas programmas 2021.–2027. gadam 2.1.3. specifiskā atbalsta mērķa "Veicināt pielāgošanos klimata pārmaiņām, risku novēršanu un noturību pret katastrofām" 2.1.3.3. pasākuma "Katastrofu risku mazināšanas pasākumi" trešās projektu iesniegumu atlases kārtas īstenošanas noteikumi" (turpmāk - noteikumi Nr. 118)  7.punkta plānoto redakciju, svītrojot tajā iekavās norādīto elastības finansējumu, ņemot vērā, ka Ministru kabineta sēdes protokollēmuma projektā iekļautais punkts paredz atļauju jau izmantot visu pasākumam plānoto finansējumu pirms Eiropas Komisijas lēmuma saņemšanas par Eiropas Savienības kohēzijas politikas programmas 2021.-2027.gadam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nacionālie rezultāta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2.1.3.3. pasākuma trešajai atlases kārtai jau noteikts iznākuma rādītājs, administratīvā sloga mazināšanas nolūkos, aicinām izvērtēt vai nepieciešami noteikumu Nr. 118 8.2..apakšpunkta plānotajā redakcijā noteiktie nacionālie rādītāji vai arī šīs prasības nosakāmas finansējuma saņēmējam noteikumu Nr. 118 IV. nodaļā "Projektu īstenošanas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nacionālie rādītāji noteikumos Nr. 118 tiek saglabāti, aicinām papildināt anotāciju, nosakot, ka rādītāja sasniegtā vērtība neietekmē projekta rezultātu un mērķi un sadarbības iestāde neveic nacionālā rādītājā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19.9. meta izstrādes un realizācijas, tajā skaitā zīmola izveides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saturiski zīmola izveides izmaksas nav iekļaujamas 19.13.apakšpunktā- dizaina stratēģijas un satura koncepcijas izstrādes izmaksas, kā arī meta realizācijas izmaksas nav nodalāmas atsevišķā punktā no izstrādes izmaksām, tajā skaitā ņemot vērā iespējamo izmaksu ierobežojumu attiecībā uz 19.9.apakšpunkta izmaksām atbilstoši Nr.1.2. Vadlīniju attiecināmo izmaksu noteikšanai Eiropas Savienības kohēzijas politikas programmas 2021.-2027.gada plānošanas periodā 10.2. apakšpunktam, ja tas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Laula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19.15. projektu vadības un īstenošanas personāla izmaksas, kuras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55. panta 1. punktu plāno kā vienu izmaksu pozīciju, piemērojot vienoto izmaksu likmi 1 procenta apmērā no projektu pārējām tiešajām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saglabāt  noteikumu Nr. 118. 19.15. apakšpunktu spēkā esošajā redakcijā (numerācija spēkā esošajā redakcijā - 21.2.), proti, nesvītrojot vārdus "bet neieskaitot tiešās attiecināmās personāla izmaksas" aiz vārdiem "no projektu pārējām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55. panta 1. punkts paredz, ka darbības tiešās personāla izmaksas var aprēķināt, izmantojot vienotu likmi līdz 20 % apmērā no tiešajām izmaksām, kas nav minētās darbības tiešās personāla izmaksas, neprasot attiecīgajai dalībvalstij veikt nekādu aprēķinu piemērojamās likmes noteikšanai, ar noteikumu, ka darbības tiešās izmaksas neietver publiskus būvdarbu līgumus vai piegādes vai pakalpojumu līgumus, kuru vērtība pārsniedz Eiropas Parlamenta un Padomes Direktīvas 2014/24/ES (49) 4. pantā un Eiropas Parlamenta un Padomes Direktīvas 2014/25/ES (50) 15. pantā noteiktās robežvērtības.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atbilstoši papildināt 19.15. apakšpunktu, kā arī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19.15. projektu vadības un īstenošanas personāla izmaksas, kuras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55. panta 1. punktu plāno kā vienu izmaksu pozīciju, piemērojot vienoto izmaksu likmi 1 procenta apmērā no projektu pārējām tiešajām attiecināmajām izmaksām, </w:t>
            </w:r>
            <w:r w:rsidR="00000000" w:rsidRPr="00000000" w:rsidDel="00000000">
              <w:rPr>
                <w:u w:val="single"/>
                <w:rtl w:val="0"/>
              </w:rPr>
              <w:t xml:space="preserve">bet neieskaitot tiešās attiecināmās personāla izmaksas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Šo noteikumu </w:t>
            </w:r>
            <w:r w:rsidR="00000000" w:rsidRPr="00000000" w:rsidDel="00000000">
              <w:rPr>
                <w:rtl w:val="0"/>
              </w:rPr>
              <w:t xml:space="preserve">19.1.</w:t>
            </w:r>
            <w:r w:rsidR="00000000" w:rsidRPr="00000000" w:rsidDel="00000000">
              <w:rPr>
                <w:rtl w:val="0"/>
              </w:rPr>
              <w:t xml:space="preserve"> , 19.10. un 19.11.​​​​​ apakšpunktā minētās izmaksu pozīcijas kopā ir attiecināmas līdz 10 % no attiecīgā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22.punktā nav iekļaujamas arī 19.9. un 19.12.apakšpunktā minētās izmaksu pozīcijas- proti, meta izstrādes un meta konkursa godalgu izmaksas, ņemot vērā Vadlīniju attiecināmo izmaksu noteikšanai Eiropas Savienības kohēzijas politikas programmas 2021.-2027.gada plānošanas periodā 10.2.apakšpunktu, kas nosaka- "Projekta iesnieguma pamatojošās dokumentācijas sagatavošanas izmaksas, būvuzraudzības, autoruzraudzības, būvprojekta tehniskā projekta vai skiču projekta stadijā izmaksas, energosertifikācijas un energoaudita izmaksas kopā ir attiecināmas līdz 10% no projekta kopējām attiecināmajām izmaksām, ja tas ir noteikts MK noteikumos par SAM īstenošanu (t.sk. veicot grozījumus)". Savukārt, ja minētās meta izstrādes un godalgu izmaksas saturiski nav atbilstošas vadlīniju 10.2.apakšpunkta izmaksām, tad no Ministru kabineta noteikumu 22.punkta uzskaitījuma būtu izslēdzams 19.10.apakšpunkts.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Laula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Sadarbības iestāde saskaņā ar atbildīgās iestādes izstrādāto papildinošas saimnieciskās darbības uzraudzības metodiku nodrošina veikto investīciju atbilstības uzraudzību atbilstoši šo noteikumu 36. un 37. punktā minētajiem nosacījumiem visā projekta dzīves ciklā (15 gadi). Finansējuma saņēmējs visā projekta dzīves ciklā katru gadu sagatavo pārskatu par papildinošas saimnieciskās darbības apjomu un nodrošina šajā punktā minēto pārskatu un aprēķinus pamatojošo dokumentu pieejamību papildinošas saimnieciskās darbības uzraudzībai. Ja finansējuma saņēmējs konstatē, ka ir pārsniegts šo noteikumu 36. punktā minētais 20 procentu ierobežojums no infrastruktūras gada jaudas platības, laika vai finanšu izteiksmē vai ka veiktās investīcijas tiek izmantotas citai saimnieciskai darbībai, kas nav uzskatāma par papildinošu saimniecisku darbību, tas saskaņā ar civiltiesisko līgumu vai vienošanos par projekta īstenošanu noteiktajā termiņā iesniedz sadarbības iestādē ziņojumu par konstatēto šo noteikumu 36. un 37. punktā minēto nosacījumu pārkāpumu.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Nr. 118 plānoto 38.punktu, paredzot papildinošas saimnieciskās darbības pašdeklarēšanas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paredzēt, ka sadarbības iestāde arī var pieprasīt iesniegt pārskatus par papildinošās saimnieciskās darbības apjomu, papildinot 38. punktu un/vai noteikumu projekta anotāciju ar norādi, ka "Sadarbības iestādei ir tiesības finansējuma saņēmējam pieprasīt pārskatus par papildinošu saimniecisko darbību visā projekta dzīves cikla laikā, tai skaitā gadījumos, kad saņemta informācija par papildinošās saimnieciskās darbības nosacījumu pārkāpumu no finansējuma saņēmēja, kompetentajām iestādēm vai no trešajām personām."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24-TA-2513</w:t>
    </w:r>
    <w:r>
      <w:br/>
    </w:r>
    <w:r w:rsidR="00000000" w:rsidRPr="00000000" w:rsidDel="00000000">
      <w:rPr>
        <w:rtl w:val="0"/>
      </w:rPr>
      <w:t xml:space="preserve">Izdrukāts 25.04.2025.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24-TA-2513</w:t>
    </w:r>
    <w:r>
      <w:br/>
    </w:r>
    <w:r w:rsidR="00000000" w:rsidRPr="00000000" w:rsidDel="00000000">
      <w:rPr>
        <w:rtl w:val="0"/>
      </w:rPr>
      <w:t xml:space="preserve">Izdrukāts 25.04.2025.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Atzinumi_24-TA-2513.docx</dc:title>
</cp:coreProperties>
</file>

<file path=docProps/custom.xml><?xml version="1.0" encoding="utf-8"?>
<Properties xmlns="http://schemas.openxmlformats.org/officeDocument/2006/custom-properties" xmlns:vt="http://schemas.openxmlformats.org/officeDocument/2006/docPropsVTypes"/>
</file>