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interešu konflikta novēršanu valsts amatpersonu darbībā””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trīs jaunas definīcijas, papildinot likuma “Par interešu konflikta novēršanu valsts amatpersonu darbībā” 1.pantu ar 10., 11. un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projekta, ne tā anotācijas nav saprotams, kā projekta regulējums tiks attiecināts uz tām valsts amatpersonām, kurām ir summētais darba laiks un kā šādā situācijā tiks vērtēts un attiecināms projektā norādītais maksimālais slodzes apmērs, kas nepārsniedz 125% no normālā darba laika.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skaidrojumu par projektā paredzēto papildinājumu likuma “Par interešu konflikta novēršanu valsts amatpersonu darbībā” pārejas noteikumos, proti, papildinot pārejas noteikumus ar 33. punktu. Šobrīd projekta anotācijā nav skaidrots minētais pārejas noteikumu punkts, tā būtība un nepieciešamība.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kā realitātē tiks vērtēts maksimālās slodzes apmērs, proti, 125% no normālā darba laika, tai skaitā attiecinot, salāgojot to ar nostrādātajām stundām. Ņemot vērā minēto lūdzam sniegt skaidrojumu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norādītos grozījumus numurēt, lai projekts būtu skaidrs un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likuma “Par interešu konflikta novēršanu valsts amatpersonu darbībā” 6.panta otro daļu jaunā redakcijā,  ietverot norādi uz b) apakšpunktu, kas pagaidām nav saprotams, jo projektā nav norādes uz a) apakšpunktu. Ņemot vērā minēto lūdzam precizēt projektu, lai būtu skaidrs un saprotams minētais grozījums.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28.08.2023.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28.08.2023.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Atzinumi_23-TA-1346.docx</dc:title>
</cp:coreProperties>
</file>

<file path=docProps/custom.xml><?xml version="1.0" encoding="utf-8"?>
<Properties xmlns="http://schemas.openxmlformats.org/officeDocument/2006/custom-properties" xmlns:vt="http://schemas.openxmlformats.org/officeDocument/2006/docPropsVTypes"/>
</file>