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13.</w:t>
            </w:r>
            <w:r w:rsidR="00000000" w:rsidRPr="00000000" w:rsidDel="00000000">
              <w:rPr>
                <w:rtl w:val="0"/>
              </w:rPr>
              <w:t xml:space="preserve"> punktā minētais projekta iesniedzējs sadarbības partneru statusā pasākumā var iesaistīt Veselības ministrijas noteiktās metodiskās vadības institūcijas, kuras saskaņā ar Veselības ministrijas noslēgtu deleģēšanas līgumu īsteno metodiskās vadības funkcijas un veic metodiskās vadības institūcijai noteiktos pienākumus savas kompetences jautājumos, kā arī vadošo valsts pārvaldes iestādi veselības nozarē, kas izstrādā, organizē un uzrauga valsts politiku sabiedrības veselības jomā, – Veselības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(turpmāk – TA) projektā iekļautas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13.1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Šo noteikumu 13. punktā minētais projekta iesniedzējs sadarbības partneru statusā pasākumā var iesaistīt Veselības ministrijas noteiktās metodiskās vadības institūcijas, kuras saskaņā ar Veselības ministrijas noslēgtu deleģēšanas līgumu īsteno metodiskās vadības funkcijas un veic metodiskās vadības institūcijai noteiktos pienākumus savas kompetences jautājumos, kā arī vadošo valsts pārvaldes iestādi veselības nozarē, kas izstrādā, organizē un uzrauga valsts politiku sabiedrības veselības jomā, – Veselības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13.2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Šo noteikumu 13. punktā minētais finansējuma saņēmējs atbilstoši normatīvajiem aktiem par kārtību, kādā Eiropas Savienības fondu vadībā iesaistītās institūcijas nodrošina šo fondu ieviešanu 2021.–2027. gada plānošanas periodā, slēdz sadarbības līgumus ar sadarbības partneriem, kontrolē to izpildi un novērš dubultā finansējuma riskus. Sadarbības līgumā iekļauj vismaz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13.21. sadarbības partnera īstenojamās atbalstāmās darbības un to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13.22. pārskatu un citas informācijas iesniegšanas kārtība un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Izteikt 15.2.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klīnisko kvalitātes indikatoru, klīnisko pacientu ceļu un atbilstoši starptautiski atzītām vadlīnijām profesionāļu izstrādātu klīnisko algoritmu izstrāde, aktualizēšana, ieviešana un uzraudzība, tai skaitā pilotprojektu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dubultā finansējuma risku, kā arī izstrādājamās klīniskās dokumentācijas (vadlīnijas, algoritmi, pacientu ceļi u.c.) pārklāšanos, nodrošinātu SPKC un jomu metodiskās vadības institūciju (turpmāk - MVI) informācijas apmaiņu, kā arī atbalstītu MVI doto atbildību par attiecīgās veselības aprūpes jomas attīstību, SIA “Rīgas Austrumu klīniskā universitātes slimnīca” ierosina precizēt un šādā redakcijā papildināt TA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papildināt 13.prim punktu ar šādu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13. punktā minētais projekta iesniedzējs informē metodiskās vadības institūcijas par plānotajiem pasākumiem, kuri skar metodisko vadības institūciju darbības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Kukuļinska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14.01.2026. 06.57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14.01.2026. 06.57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Atzinumi_25-TA-2880.docx</dc:title>
</cp:coreProperties>
</file>

<file path=docProps/custom.xml><?xml version="1.0" encoding="utf-8"?>
<Properties xmlns="http://schemas.openxmlformats.org/officeDocument/2006/custom-properties" xmlns:vt="http://schemas.openxmlformats.org/officeDocument/2006/docPropsVTypes"/>
</file>