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(stāsies spēkā 2023. gada 1. janvārī) 4. panta pirmās daļas 21. punkts paredz, ka atskurbināšanas pakalpojumu pieejamības nodrošināšana ir noteikta kā pašvaldības autonomā funkcija (norma saskaņā ar minētā likuma Pārejas noteikumu 2. punktu stāsies spēkā 2024. gada 1. janvārī), savukārt minētā likuma 4.panta ceturtā daļa nosaka, ka autonomo funkciju izpildi finansē no pašvaldības budžeta, ja likumā nav noteikts citādi, un arī informatīvā ziņojuma projekta 4.sadaļas pirmajā rindkopā tiek norādīts, ka pašvaldībām pilnībā jānodrošina atskurbināšanas pakalpojumu pieejamība. Ņemot vērā minēto, nav saprotams, kāpēc informatīvā ziņojuma projektā ir iekļauta informācija par akcīzes nodokļa ieņēmumiem kā finansējuma avotu atskurbšanas pakalpojuma pieejamības nodrošināšanai, ievērojot arī to, ka MK sēdes protokollēmuma projektā nav paredzēta turpmākā rīcība attiecībā uz šādu priekšlikumu. Vienlaikus vēršam uzmanību, ka akcīzes nodokļa ieņēmumi tiek ieskaitīti vispārējos valsts budžeta ieņēmumos.  Ņemot vērā minēto, lūdzam no informatīvā ziņojuma projekta svītrot informāciju par akcīzes nodokļa ieņēmumiem kā finansējuma avotu atskurbšanas pakalpojuma pieejamības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3.punktā un informatīvā ziņojuma projektā paredzēto, ka Veselības ministrijai kā par veselības nozari atbildīgajai ministrijai jāizstrādā vadlīnijas atskurbināšanas pakalpojuma nodrošināšanai un jāsniedz izvērtējumu, vai atskurbināšanas pakalpojumam tiktāl, cik tas attiecas uz medicīnas personāla klātbūtni, jābūt maksas pakalpojumam, uzskatām, ka par minēto uzdevumu būtisks ir Veselības ministrijas viedoklis. Vienlaikus vēršam uzmanību, ka no informatīvā ziņojuma projektā un MK sēdes protokollēmuma 3.punktā norādītā nav saprotams, kam minētais izvērtējums tiks iesniegts un kādā formā izvērtējums tiks noformēts, t.i. vai informatīvais ziņojums vai cits plānošanas dokuments,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priekšlikumu sadaļā ir minēts, ka no 2024.gada 1.marta jāpārtrauc līdzekļu piešķiršanu pašvaldībām no valsts budžeta programmas “Līdzekļi neparedzētiem gadījumiem”, lai segtu pašvaldību izdevumus līdz 15 </w:t>
            </w:r>
            <w:r w:rsidR="00000000" w:rsidRPr="00000000" w:rsidDel="00000000">
              <w:rPr>
                <w:i w:val="1"/>
                <w:rtl w:val="0"/>
              </w:rPr>
              <w:t xml:space="preserve">euro</w:t>
            </w:r>
            <w:r w:rsidR="00000000" w:rsidRPr="00000000" w:rsidDel="00000000">
              <w:rPr>
                <w:rtl w:val="0"/>
              </w:rPr>
              <w:t xml:space="preserve"> apmērā par katru atskurbšanas telpā ievietoto personu, savukārt Ministru kabineta 2020. gada 14. aprīļa sēdes protokollēmuma (prot. Nr. 24 48.§) “Informatīvais ziņojums "Par atskurbināšanas pakalpojuma attīstību pašvaldībās un turpmāko rīcību šajā jomā”" 3.1. apakšpunkts nosaka, ka līdz kārtējā gada 1.martam jāizvērtē pašvaldību iesniegtie valsts budžeta līdzekļu pieprasījumi par iepriekšējo gadu, līdz ar to līdzekļu kompensācija pašvaldībām tiek veikta pēc 1.marta. Ņemot vērā iepriekš minēto, līdzekļu kompensāciju par pašvaldību faktiskajiem izdevumiem 2023.gadā nav iespējams pārtraukt ar 2024.gada 1.martu, līdz ar to lūdzam precizēt informatīvajā ziņojumā norādīto termiņu, vienlaikus izvērtējot, vai nebūtu precizējams MK sēdes protokollēmuma 2.punktā norādītais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