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4500 euro, atbilstoši Komisijas regulas Nr. 1407/2013 3. panta noteiktajam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31.1.3 punktā minētās Komisijas regulas 2. pants nenosaka projektu vadības izmaksu ierobežojumu, bet izmaksas minētas Komisijas regulas Nr. 1407/2013 3 pantā.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iebildumu par projekta vadības izmaksām: Ņemot vērā paredzamo darba apjomu un, ka šobrīd gan minimālā, gan vidējā darba samaksa valstī ir ievērojami lielāka nekā 2016. gadā, kad MK noteikumi paredzēja šādu vadības izmaksu ierobežojumu, un līdz ar strauji augošo inflāciju, palielinoties arī projektu vadības pakalpojumu izmaksām, piemēram, par grāmatvedību, telpu nomu, lūdzam 31.1.3. punktā palielināt projekta vadības izmaksas mēnesī vismaz līdz 4500 EUR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43.19.3. plānotos mācību kursus;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apakšpunktu Nr. 43.19.3.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Nevienā nozarē nav iespējams gadu uz priekšu paredzēt konkrētus nepieciešamos mācību kursus. Arī MK noteikumu Anotācijā minēts, ka plānotās mācības nozares asociācija iekļauj mācību plānā, ko aktualizē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43.20. ne vēlāk kā mēnesi pēc šo noteikumu </w:t>
            </w:r>
            <w:r w:rsidR="00000000" w:rsidRPr="00000000" w:rsidDel="00000000">
              <w:rPr>
                <w:rtl w:val="0"/>
              </w:rPr>
              <w:t xml:space="preserve">8. </w:t>
            </w:r>
            <w:r w:rsidR="00000000" w:rsidRPr="00000000" w:rsidDel="00000000">
              <w:rPr>
                <w:rtl w:val="0"/>
              </w:rPr>
              <w:t xml:space="preserve">punkt</w:t>
            </w:r>
            <w:r w:rsidR="00000000" w:rsidRPr="00000000" w:rsidDel="00000000">
              <w:rPr>
                <w:rtl w:val="0"/>
              </w:rPr>
              <w:t xml:space="preserve">ā minētās vienošanās parakstīšanas, bet ne vēlāk kā līdz pirmajam maksājuma pieprasījumam iesniegt sadarbības iestādei iekšējās kontroles sistēmas aprakstu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punkta Nr. 43.20. un visos tā apakšpunktos minēto prasību samērību kā arī precizēt minētajā punktā atsauci uz MK Noteikumu projekta punktu Nr.8, jo tas attiecas uz darba devēju nevis Finansējuma saņēmēja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saņēmējiem nav kapacitātes šādu apjomīgu dokumentu izstrādē viena projekta īstenošanas vajadzībām. Mūsuprāt Sadarbības iestādei vai Ekonomikas ministrijai būtu jāizstrādā vienota forma, ko izmantot visiem Finansējumu saņēmējiem iekšējās kontroles sistēmas aprakstam korupcijas un interešu konflikta riska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43.21. nodrošināt, ka darba devējs iesniedz apliecinājumu, kur iekļauts, ka ir izstrādāta iekšējā kārtība, paredzot tiesības, jebkuram nodarbinātajam iespēju pieteikties mācībām, lai pilnveidotu prasmes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MK noteikumu punktu Nr. 43.21,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Katrs darba devējs organizē un nosaka sava uzņēmuma iekšējo kārtību. Šādu papildu noteikumu ieviešana būs papildu birokrātijas slogs darba devējam un arī samazinās vēlmi iesaistīties mācībās, ņemot vērā jau tā lielo apliecinājumu nepieciešamības daudzumu programmas ietvaros. Tā kā darba devējs sedz līdzfinansējuma daļu, tad viņš arī nosaka, kuriem uzņēmuma darbiniekiem ir nepieciešamas mācības. Vēršam uzmanību, ka šajā programmā, prioritāri, ir darba devēja vajadzības. Uzskatām, ka nodarbinātie individuālās vajadzībās balstītas mācības var īstenot citās programmās, piemēram, NVA bezdarba riskam pakļauto nodarbināto programmās un VIAA individuālās vajadzībās balstītās pieaugušo mācībās. Jau šobrīd esošajās atbalsta programmās darba devēji sūdzas par lielo birokrātisko slogu, lai saņemtu atbalstu mācībām, tādēļ uzskatām, ka nav korekti prasīt vēl arī šādu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43.24. iesniegt Vadības informācijas sistēmā darba devēja un nodarbinātā, kuram tiks veiktas mācības, parakstītu apliecinājumu par atļauju Ekonomikas ministrijai izmantot šo noteikumu </w:t>
            </w:r>
            <w:r w:rsidR="00000000" w:rsidRPr="00000000" w:rsidDel="00000000">
              <w:rPr>
                <w:rtl w:val="0"/>
              </w:rPr>
              <w:t xml:space="preserve">43.2.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19. </w:t>
            </w:r>
            <w:r w:rsidR="00000000" w:rsidRPr="00000000" w:rsidDel="00000000">
              <w:rPr>
                <w:rtl w:val="0"/>
              </w:rPr>
              <w:t xml:space="preserve">punkt</w:t>
            </w:r>
            <w:r w:rsidR="00000000" w:rsidRPr="00000000" w:rsidDel="00000000">
              <w:rPr>
                <w:rtl w:val="0"/>
              </w:rPr>
              <w:t xml:space="preserve">ā rādītāju sasniegšanas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MK noteikumu punktu Nr. 43.24.,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Esošo mācību programmu ietvaros 43.2. apakšpunktā noteiktos datus Finansējuma saņēmēji saņem no darba devējiem saskaņā ar noslēgtajiem sadarbības līgumiem un tie tiek iesniegti KPVIS un EM bez papildu apliecinājuma nepieciešamības. Vēršam uzmanību, ka tas uzliek papildu slogu gan darba devējiem, gan nodarbinātajiem, gan arī Finansējuma saņēmējiem – sagatavot, parakstīt un iesniegt.  Darba apjoms un dokumentu aprites daudzums, lai izpildītu šādu prasību ir nesamērīgs pret norādīto mērķi un būtiski kavēs uzņēmumu iesaisti un bremzēs projekta īstenošanas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projekta iesnieguma apstiprināšanas, slēdz vienošanos ar nodarbināto personu par iesaisti mācībās (turpmāk -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devēja nodarbinātajai personai noslēgtās vienošanās ietvaros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Nodarbinātajai personai nav jāatmaksā mācībās izlietotie līdzekļi,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Nodarbinātajai personai, slēdzot vienošanos, ir tiesības ar darba devēju vienoties par atmaksājamās summas atmaksas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nacionālais rādītājs līdz 2024. gada 31. decembrim  ar grantiem atbalstīto neunikālo komersantu skaits – 464.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MK Noteikumu punktu Nr. 19.2 saskaņā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nacionālais rādītājs līdz 2029. gada 31. decembrim ar grantiem atbalstīto neunikālo komersantu skaits – 464.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31.</w:t>
            </w:r>
            <w:r w:rsidR="00000000" w:rsidRPr="00000000" w:rsidDel="00000000">
              <w:rPr>
                <w:rtl w:val="0"/>
              </w:rPr>
              <w:t xml:space="preserve"> punktā minētās izmaksas ir attiecināmas atbilstoši Ekonomikas ministrijas izstrādātajām vienkāršoto izmaksu metodikām, kas saskaņotas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punktu Nr.32, iekļaujot atsauci uz Ekonomikas ministrijas izstrādātajām vienkāršoto izmaksu metodikām, kur ar tām varētu iepazīties.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nodrošināt apliecinājuma par interešu konflikta nepieļaušanu parakstīšanu pirms lēmuma pieņemšanas, nepieciešamības gadījumā novēršot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punkta Nr. 43.11 prasības – jo šobrīd nav saprotams, vai Finansējuma saņēmējam pirms lēmuma pieņemšanas par atbalsta piešķiršanu komersantam ir jāparaksta apliecinājums, ka starp Finansējuma saņēmēju un Komersantu nav interešu konflikta vai arī Komersantam ir jāiesniedz Finanšu saņēmējam parakstīts apliecinājums, ka starp viņu un Finansējuma saņēmēju nav interešu konflikta.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projekta pieteikuma iesniegšanas darba devējs vienojas ar finansējuma saņēmēju par komercdarbības atbalsta veidu atbilstoši Komisijas regulas Nr. 651/2014 vai Komisijas regulas Nr. 1407/2013 nosacījumiem.  Ja darba devējs pretendē uz komercdarbības atbalstu saskaņā ar Komisijas regulu Nr. 1407/2013.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punkta Nr. 63 būtību, jo nav saprotams, kas ar šo punktu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Finansējuma saņēmējs lēmumu par komercdarbības atbalsta piešķiršanu saskaņā ar Komisijas regulas Nr. 651/2014  58. panta 4. punktu var pieņemt līdz 2026.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punktu Nr. 81 – ja projekti tiek īstenoti līdz 2029.gada 31.decembrim, tad kādēļ Finansējuma saņēmēji lēmumu par komercdarbības atbalsta piešķiršanu var piešķirt tikai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