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23-TA-2041: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izglītības iestāžu izglītojamo apdrošināšana pret nelaimes gadījumiem mācību laikā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izglītības iestāžu izdevumi pēdējos gados ir būtiski pieauguši, taču faktiskais izglītības iestādēm pieejamais finansējums netiek paaugstināts pietiekamā apmērā, jebkuriem papildus jauniem izdevumiem, kas līdz šim nebija iestāžu budžetā plānoti, būtu jāparedz visām iestādēm papildu finansējums. Ņemot vērā minēto, Kultūras ministrija uztur iepriekš izteikto iebildumu par to, ka visām Kultūras ministrijas resora izglītības iestādēm ir nepieciešams papildu finansējums izglītojamo apdrošināšanai.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norādītie aprēķini nesniedz skaidru un precīzu informāciju par Kultūras ministrijas padotībā esošo izglītības iestāžu  papildu nepieciešamo finansējumu profesionālās vidējā izglītības programmu izglītojamo apdrošināšanai.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Izglītības un zinātnes ministrijai sūtītā informācijā tika norādīts, ka 2023.gadā apdrošināšana izglītojamiem tika veikta tikai 2 Kultūras ministrijas padotībā esošajās iestādēs, bet 7 izglītības iestādēs tā 2023.gadā netika veikta.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Kultūras ministrijas sūtītajā informācijā tika norādīti visi  abās izglītības iestādēs plānotie  apdrošināšanas izdevumi par izglītojamiem, un pamatā šis finansējums tika paredzēts izglītojamo (gan profesionālās vidējās izglītības programmās, gan ievirzes programmās) ārvalstu braucienu (koncertu) apdrošināšanai un   specifiski MIKC Nacionālā Mākslu vidusskola baleta un dejas programmu izglītojamo prakses apdrošināšanai noteiktos gadījumos. Lai gan iepriekš sūtītajā informācijā tika norādīts plānotais izdevumu apmērs 1179 euro, ņemot vērā kopējo izdevumu sadārdzinājumu, iestādes nevarēja atļauties veikt minētos izdevumus plānotajā apmērā, līdz ar to, faktiskais līdzekļu izlietojums 2023.gadā bija 918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šajās divās izglītības iestādēs summas ir lielākas nekā noteikumu projektā plānotie izdevumi 1,20 euro audzēknim, tās pēc ekonomiskās būtības uz prakšu apdrošināšanu var  attiecināt tikai MIKC Nacionālā Mākslu vidusskola baleta un dejas programmu 51 izglītojamam, 2023. gadā  kopsummā 729 euro apmērā.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Kultūras ministrijas padotības profesionālās vidējās izglītības iestādēm nepieciešams finansējums  1881 izglītojamo (1932 -51=1881) apdrošināšanai kopumā par 2258 euro (1881 izglītojamie x1,20 euro=2258 euro).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apmērs pirmā līmeņa augstākās izglītības programmās nemainās.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precizēt anotācijas pielikumu un anotācijas 3.sadaļu.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budžeta izdevumi un finansēšanas plāni tiek sagatavoti pilnos </w:t>
            </w:r>
            <w:r w:rsidR="00000000" w:rsidRPr="00000000" w:rsidDel="00000000">
              <w:rPr>
                <w:i w:val="1"/>
                <w:rtl w:val="0"/>
              </w:rPr>
              <w:t xml:space="preserve">euro</w:t>
            </w:r>
            <w:r w:rsidR="00000000" w:rsidRPr="00000000" w:rsidDel="00000000">
              <w:rPr>
                <w:rtl w:val="0"/>
              </w:rPr>
              <w:t xml:space="preserve">, nodalot izdevumus pa ekonomiskās klasifikācijas kodiem, lūdzam precizēt Kultūras ministrijai papildu nepieciešamo finansējumu gan profesionālajām vidusskolām, gan koledžai, veicot finansējuma noapaļošanu  uz augšu līdz pilniem </w:t>
            </w:r>
            <w:r w:rsidR="00000000" w:rsidRPr="00000000" w:rsidDel="00000000">
              <w:rPr>
                <w:i w:val="1"/>
                <w:rtl w:val="0"/>
              </w:rPr>
              <w:t xml:space="preserve">euro </w:t>
            </w:r>
            <w:r w:rsidR="00000000" w:rsidRPr="00000000" w:rsidDel="00000000">
              <w:rPr>
                <w:rtl w:val="0"/>
              </w:rPr>
              <w:t xml:space="preserve">katrā no pozīcijām, attiecīgi nepieciešamība gadījumā precizējot arī kopējo papildu nepieciešamā finansējuma summu. Vienlaikus lūdzam precizēt arī anotācijas pielikumā esošos aprēķinus, veicot noapaļošanu uz augšu līdz pilnam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Roventa Putniņa (KM)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05.01.2024. 19.19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23-TA-2041</w:t>
    </w:r>
    <w:r>
      <w:br/>
    </w:r>
    <w:r w:rsidR="00000000" w:rsidRPr="00000000" w:rsidDel="00000000">
      <w:rPr>
        <w:rtl w:val="0"/>
      </w:rPr>
      <w:t xml:space="preserve">Izdrukāts 05.01.2024. 19.19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Atzinumi_23-TA-2041.docx</dc:title>
</cp:coreProperties>
</file>

<file path=docProps/custom.xml><?xml version="1.0" encoding="utf-8"?>
<Properties xmlns="http://schemas.openxmlformats.org/officeDocument/2006/custom-properties" xmlns:vt="http://schemas.openxmlformats.org/officeDocument/2006/docPropsVTypes"/>
</file>