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24-TA-169)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Ja piesārņojošās darbības atļaujā ir norādītas piesārņojošās vielas daļiņas PM</w:t>
            </w:r>
            <w:r w:rsidR="00000000" w:rsidRPr="00000000" w:rsidDel="00000000">
              <w:rPr>
                <w:vertAlign w:val="subscript"/>
                <w:rtl w:val="0"/>
              </w:rPr>
              <w:t xml:space="preserve">10</w:t>
            </w:r>
            <w:r w:rsidR="00000000" w:rsidRPr="00000000" w:rsidDel="00000000">
              <w:rPr>
                <w:rtl w:val="0"/>
              </w:rPr>
              <w:t xml:space="preserve"> vai daļiņas PM</w:t>
            </w:r>
            <w:r w:rsidR="00000000" w:rsidRPr="00000000" w:rsidDel="00000000">
              <w:rPr>
                <w:vertAlign w:val="subscript"/>
                <w:rtl w:val="0"/>
              </w:rPr>
              <w:t xml:space="preserve">2,5</w:t>
            </w:r>
            <w:r w:rsidR="00000000" w:rsidRPr="00000000" w:rsidDel="00000000">
              <w:rPr>
                <w:rtl w:val="0"/>
              </w:rPr>
              <w:t xml:space="preserve">, bet nav norādītas daļiņas PM, tad līdz atļaujas pārskatīšanai nodokli par daļiņu PM emisijas apjomu no stacionāra gaisa piesārņojuma avota nodokļa maksātājs aprēķina  atbilstoši piesārņojošās darbības atļaujā norādītajām  metodēm daļiņu PM</w:t>
            </w:r>
            <w:r w:rsidR="00000000" w:rsidRPr="00000000" w:rsidDel="00000000">
              <w:rPr>
                <w:vertAlign w:val="subscript"/>
                <w:rtl w:val="0"/>
              </w:rPr>
              <w:t xml:space="preserve">10</w:t>
            </w:r>
            <w:r w:rsidR="00000000" w:rsidRPr="00000000" w:rsidDel="00000000">
              <w:rPr>
                <w:rtl w:val="0"/>
              </w:rPr>
              <w:t xml:space="preserve"> vai daļiņu PM</w:t>
            </w:r>
            <w:r w:rsidR="00000000" w:rsidRPr="00000000" w:rsidDel="00000000">
              <w:rPr>
                <w:vertAlign w:val="subscript"/>
                <w:rtl w:val="0"/>
              </w:rPr>
              <w:t xml:space="preserve">2,5</w:t>
            </w:r>
            <w:r w:rsidR="00000000" w:rsidRPr="00000000" w:rsidDel="00000000">
              <w:rPr>
                <w:rtl w:val="0"/>
              </w:rPr>
              <w:t xml:space="preserve"> faktiskā apjoma aprēķināšanai, izvēloties atbilstošu daļiņu PM emisijas faktoru, koeficientu vai analīžu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 punktā ietverto regulējumu ietvert Noteikumu VI nodaļā "Noslēguma jautājumi", ņemot vērā to, ka tam ir pārejas regulējuma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Nodokli par videi kaitīgām precēm, uguņošanas ierīcēm, iepakojumu, vienreiz lietojamiem traukiem, tekstilizstrādājumiem, vienreiz lietojamiem plastmasu saturošiem izstrādājumiem un plastmasu saturošiem zvejas rīkiem, radioaktīvajām vielām, akmeņoglēm, koksu un lignītu (brūnoglēm) aprēķina atbilstoši likuma 24. panta piektajā daļā, 24.</w:t>
            </w:r>
            <w:r w:rsidR="00000000" w:rsidRPr="00000000" w:rsidDel="00000000">
              <w:rPr>
                <w:vertAlign w:val="superscript"/>
                <w:rtl w:val="0"/>
              </w:rPr>
              <w:t xml:space="preserve">1</w:t>
            </w:r>
            <w:r w:rsidR="00000000" w:rsidRPr="00000000" w:rsidDel="00000000">
              <w:rPr>
                <w:rtl w:val="0"/>
              </w:rPr>
              <w:t xml:space="preserve"> pantā, 26.</w:t>
            </w:r>
            <w:r w:rsidR="00000000" w:rsidRPr="00000000" w:rsidDel="00000000">
              <w:rPr>
                <w:vertAlign w:val="superscript"/>
                <w:rtl w:val="0"/>
              </w:rPr>
              <w:t xml:space="preserve">1 </w:t>
            </w:r>
            <w:r w:rsidR="00000000" w:rsidRPr="00000000" w:rsidDel="00000000">
              <w:rPr>
                <w:rtl w:val="0"/>
              </w:rPr>
              <w:t xml:space="preserve">pantā , 26.</w:t>
            </w:r>
            <w:r w:rsidR="00000000" w:rsidRPr="00000000" w:rsidDel="00000000">
              <w:rPr>
                <w:vertAlign w:val="superscript"/>
                <w:rtl w:val="0"/>
              </w:rPr>
              <w:t xml:space="preserve">2</w:t>
            </w:r>
            <w:r w:rsidR="00000000" w:rsidRPr="00000000" w:rsidDel="00000000">
              <w:rPr>
                <w:rtl w:val="0"/>
              </w:rPr>
              <w:t xml:space="preserve"> pantā un 6., 7., 8. un 9. pielikumā, kā arī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pielikumā noteiktajai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8. punktā ietverto Noteikumu 46. punktu, papildinot to ar atsauci uz Dabas resursu nodokļa likuma 23. pantu (nodokļa aprēķināšana par videi kaitīgām precēm), 23.</w:t>
            </w:r>
            <w:r w:rsidR="00000000" w:rsidRPr="00000000" w:rsidDel="00000000">
              <w:rPr>
                <w:vertAlign w:val="superscript"/>
                <w:rtl w:val="0"/>
              </w:rPr>
              <w:t xml:space="preserve">1</w:t>
            </w:r>
            <w:r w:rsidR="00000000" w:rsidRPr="00000000" w:rsidDel="00000000">
              <w:rPr>
                <w:rtl w:val="0"/>
              </w:rPr>
              <w:t xml:space="preserve"> pantu (nodokļa aprēķināšana par akmeņoglēm, koksu un lignītu (brūnoglēm)), 24. pantu (nodokļa aprēķināšana par iepakojumu un par vienreiz lietojamiem galda traukiem un piederumiem) un 25. pantu (nodokļa aprēķināšana par radioaktīvajām vielām), ņemot vērā to, ka tajā šobrīd ietvertās atsauces pēc būtības ir līdzīgas iepriekš minētajām atsaucēm.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Nodokli par videi kaitīgām precēm, uguņošanas ierīcēm, iepakojumu,plastmasu saturošiem izstrādājumiem un plastmasu saturošiem zvejas rīkiem,  tekstilizstrādājumiem vai akmeņoglēm, koksu un lignītu (brūnoglēm) nodokļa maksātājs var samaksāt tūlīt pēc šo preču vai iepakoto preču ievešanas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normatīvā akta projektu raksta, ievērojot vienotu terminoloģiju, aicinām projekta 10. punktā ietvertajā Noteikumu 53. punktā lietot vārdu savienojumu "vienreiz lietojamie plastmasu saturošie izstrādājumi".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w:t>
    </w:r>
    <w:r>
      <w:br/>
    </w:r>
    <w:r w:rsidR="00000000" w:rsidRPr="00000000" w:rsidDel="00000000">
      <w:rPr>
        <w:rtl w:val="0"/>
      </w:rPr>
      <w:t xml:space="preserve">Izdrukāts 12.06.2024. 23.52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w:t>
    </w:r>
    <w:r>
      <w:br/>
    </w:r>
    <w:r w:rsidR="00000000" w:rsidRPr="00000000" w:rsidDel="00000000">
      <w:rPr>
        <w:rtl w:val="0"/>
      </w:rPr>
      <w:t xml:space="preserve">Izdrukāts 12.06.2024. 23.52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Atzinumi_24-TA-169.docx</dc:title>
</cp:coreProperties>
</file>

<file path=docProps/custom.xml><?xml version="1.0" encoding="utf-8"?>
<Properties xmlns="http://schemas.openxmlformats.org/officeDocument/2006/custom-properties" xmlns:vt="http://schemas.openxmlformats.org/officeDocument/2006/docPropsVTypes"/>
</file>