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25-TA-2101: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4. aprīļa noteikumos Nr. 265 "Medicīnisko dokumentu lietvedības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(Publiskās apspriedes viedokļu apkopojums)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35.12. šo noteikumu 12., 30., 75., 76., 79., 94., 98., 99., 101., 102., 102.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, 103. un 104. pielikumā norādītos dokumentus, kuros iekļautā informācija vienotajā veselības nozares elektroniskajā informācijas sistēmā ievadīta daļēji, ārstniecības iestāde uzglabā un iznīcina atbilstoši šo noteikumu  35., 35.</w:t>
            </w:r>
            <w:r w:rsidR="00000000" w:rsidRPr="00000000" w:rsidDel="00000000">
              <w:rPr>
                <w:vertAlign w:val="superscript"/>
                <w:rtl w:val="0"/>
              </w:rPr>
              <w:t xml:space="preserve">2</w:t>
            </w:r>
            <w:r w:rsidR="00000000" w:rsidRPr="00000000" w:rsidDel="00000000">
              <w:rPr>
                <w:rtl w:val="0"/>
              </w:rPr>
              <w:t xml:space="preserve"> un 35.</w:t>
            </w:r>
            <w:r w:rsidR="00000000" w:rsidRPr="00000000" w:rsidDel="00000000">
              <w:rPr>
                <w:vertAlign w:val="superscript"/>
                <w:rtl w:val="0"/>
              </w:rPr>
              <w:t xml:space="preserve">3</w:t>
            </w:r>
            <w:r w:rsidR="00000000" w:rsidRPr="00000000" w:rsidDel="00000000">
              <w:rPr>
                <w:rtl w:val="0"/>
              </w:rPr>
              <w:t xml:space="preserve"> punktā noteiktajam.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normas redakciju, svītrojot to, ka dokumentu uzglabāšana un iznīcināšana notiek atbilstoši noteikumu 35., 35.</w:t>
            </w:r>
            <w:r w:rsidR="00000000" w:rsidRPr="00000000" w:rsidDel="00000000">
              <w:rPr>
                <w:vertAlign w:val="superscript"/>
                <w:rtl w:val="0"/>
              </w:rPr>
              <w:t xml:space="preserve">2 </w:t>
            </w:r>
            <w:r w:rsidR="00000000" w:rsidRPr="00000000" w:rsidDel="00000000">
              <w:rPr>
                <w:rtl w:val="0"/>
              </w:rPr>
              <w:t xml:space="preserve">un 35.</w:t>
            </w:r>
            <w:r w:rsidR="00000000" w:rsidRPr="00000000" w:rsidDel="00000000">
              <w:rPr>
                <w:vertAlign w:val="superscript"/>
                <w:rtl w:val="0"/>
              </w:rPr>
              <w:t xml:space="preserve">3</w:t>
            </w:r>
            <w:r w:rsidR="00000000" w:rsidRPr="00000000" w:rsidDel="00000000">
              <w:rPr>
                <w:rtl w:val="0"/>
              </w:rPr>
              <w:t xml:space="preserve"> punktos noteiktajam. Vēršam uzmanību, ka 35.</w:t>
            </w:r>
            <w:r w:rsidR="00000000" w:rsidRPr="00000000" w:rsidDel="00000000">
              <w:rPr>
                <w:vertAlign w:val="superscript"/>
                <w:rtl w:val="0"/>
              </w:rPr>
              <w:t xml:space="preserve">2</w:t>
            </w:r>
            <w:r w:rsidR="00000000" w:rsidRPr="00000000" w:rsidDel="00000000">
              <w:rPr>
                <w:rtl w:val="0"/>
              </w:rPr>
              <w:t xml:space="preserve"> punktā minētā dokumentu uzglabāšanas un iznīcināšanas kārtība ir attiecināma uz visu 35. punktu, t.sk. uz visiem tā apakšpunktiem, līdz ar to vienā apakšpunktā nav nepieciešams atsevišķi izcelt dokumentu iznīcināšanas kārtību.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Irīna Žemaite-Dziceviča (DVI)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25-TA-2101</w:t>
    </w:r>
    <w:r>
      <w:br/>
    </w:r>
    <w:r w:rsidR="00000000" w:rsidRPr="00000000" w:rsidDel="00000000">
      <w:rPr>
        <w:rtl w:val="0"/>
      </w:rPr>
      <w:t xml:space="preserve">Izdrukāts 24.04.2026. 15.00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25-TA-2101</w:t>
    </w:r>
    <w:r>
      <w:br/>
    </w:r>
    <w:r w:rsidR="00000000" w:rsidRPr="00000000" w:rsidDel="00000000">
      <w:rPr>
        <w:rtl w:val="0"/>
      </w:rPr>
      <w:t xml:space="preserve">Izdrukāts 24.04.2026. 15.00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