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592 "Energoapgādes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noteikumu projekts tiek papildināts ar 75.</w:t>
            </w:r>
            <w:r w:rsidR="00000000" w:rsidRPr="00000000" w:rsidDel="00000000">
              <w:rPr>
                <w:vertAlign w:val="superscript"/>
                <w:rtl w:val="0"/>
              </w:rPr>
              <w:t xml:space="preserve">1</w:t>
            </w:r>
            <w:r w:rsidR="00000000" w:rsidRPr="00000000" w:rsidDel="00000000">
              <w:rPr>
                <w:rtl w:val="0"/>
              </w:rPr>
              <w:t xml:space="preserve"> punktu atbilstoši kuram informācijas sistēma nodod personas datus Tiesu administrācijai, lūdzam, ievērojot Valsts kancelejas vadlīnijas "Vadlīnijas tiesību akta projekta sākotnējās ietekmes novērtēšanai un novērtējuma ziņojuma sagatavošanai vienotajā tiesību aktu izstrādes un saskaņošanas portālā", attiecīgi aizpildīt anotācijas 8.1.13.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04.08.2025.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04.08.2025.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Atzinumi_25-TA-695.docx</dc:title>
</cp:coreProperties>
</file>

<file path=docProps/custom.xml><?xml version="1.0" encoding="utf-8"?>
<Properties xmlns="http://schemas.openxmlformats.org/officeDocument/2006/custom-properties" xmlns:vt="http://schemas.openxmlformats.org/officeDocument/2006/docPropsVTypes"/>
</file>