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26-TA-201: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w:t>
            </w:r>
            <w:r w:rsidR="00000000" w:rsidRPr="00000000" w:rsidDel="00000000">
              <w:rPr>
                <w:vertAlign w:val="superscript"/>
                <w:rtl w:val="0"/>
              </w:rPr>
              <w:t xml:space="preserve">1</w:t>
            </w:r>
            <w:r w:rsidR="00000000" w:rsidRPr="00000000" w:rsidDel="00000000">
              <w:rPr>
                <w:rtl w:val="0"/>
              </w:rPr>
              <w:t xml:space="preserve">) Attiecināmais jūras transporta kuģis ir kravas kuģis, pasažieru kuģis, speciāliem nolūkiem paredzēts kuģis (velkonis, bagarkuģis, ledlauzis, glābšanas kuģis, mācību un pētnieciskais kuģis, kabeļu licējs) un kuģis, kas paredzēts valsts dienestu funkciju (valsts robežas apsardzība, vides aizsardzība, avāriju novēršana) veikšanai. Attiecināmais jūras transporta kuģis atbilst visām turpmāk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ar to veic jūras transporta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neto tilpība ir vismaz 100 vienības vai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tas ir sertificēts saskaņā ar Latvijas Republikai saistošajiem starptautiskajiem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tas atbilst Latvijai saistošo Starptautiskās Darba organizācijas (ILO) un Starptautiskās Jūrniecības organizācijas (IMO) konvenciju prasībām, jo īpaši attiecībā uz jūrnieku drošību, apmācību, sertificēšanu, darba un atpūtas laiku un veselības atbilstību darbam uz kuģa, kā arī Eiropas Savienības tiesību aktu prasībām par jūrnieku minimālo sagatavotības līmeni un to ieviešanai pieņemtajiem Latvijas vai citu Eiropas Savienības vai Eiropas Ekonomikas zonas dalībvalstu normatīvajiem aktiem, ar kuriem pārņemtas Eiropas Savienības tiesību aktu prasības par jūrnieku minimālo sagatavotības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 kuģa tiek nodarbināti jūrnieki, kuriem ir  atbilstoši 1978.gada Starptautiskās konvencijas par jūrnieku sagatavošanu un diplomēšanu, kā arī sardzes pildīšanu un tās grozījumu (turpmāk – STCW konvencija) prasībām izsniegts kvalifikācijas sertifikāts un tie ir izgājuši drošības pamatkursa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Bagarkuģis ir attiecināmais jūras transporta kuģis, ja bagarēšanas darbu rezultātā iegūto materiālu transportē dziļjūrā un šādas darbības aizņem vairāk nekā 50% no bagarkuģa ikgadējā darbības laika, kā arī, ja bagarkuģis ir reģistrēts Latvijas Republikā, citā Eiropas Savienības dalībvalstī vai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Velkonis ir attiecināmais jūras transporta kuģis, ja vairāk nekā 50% no vilkšanas un stumšanas operācijām, ko konkrētajā gadā faktiski veicis velkonis, ir jūras transports, kā arī, ja velkonis ir reģistrēts Latvijas Republikā, citā Eiropas Savienības dalībvalstī vai Eiropas Ekonomikas zonas valstī. Velkoņa gaidīšanas laiku proporcionāli (pro rata) attiecina uz vilkšanas un stumšanas darbībām, kas kvalificējas kā jūras transports, un citām vilkšanas un stumšanas darbībām, kas nav uzskatāmas par jūras transportu, tostarp ostu manevri, pietauvošanas palīdzība, vilkšana iekšējos ūdeņos un ar šīm darbībām saistītais gaidīšanas laiks. Ja velkonis gaida nākamo reisu vilkšanai vai glābšanai jūrā, šo laiku pieskaita darbībām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"Eiropas Savienības tiesību aktu prasībām par jūrnieku minimālo sagatavotības līmeni un to ieviešanai pieņemtajiem Latvijas vai", nodrošinot līdzīgu atsauci uz normatīvajiem aktiem, kā likumprojekta 2. pantā. Norādām, ka 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Kā arī tiesiskās noteiktības nolūkā lūdzam likumprojekta 1. un 2. pantā norādes uz Latvijas normatīvajiem aktiem vietā atsaukties uz nacionālo normatīvo aktu jomu, ar kuru pārņemtas Eiropas Savienības tiesību aktu prasības par jūrnieku minimālo sagatavotības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29.05.2026.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26-TA-201</w:t>
    </w:r>
    <w:r>
      <w:br/>
    </w:r>
    <w:r w:rsidR="00000000" w:rsidRPr="00000000" w:rsidDel="00000000">
      <w:rPr>
        <w:rtl w:val="0"/>
      </w:rPr>
      <w:t xml:space="preserve">Izdrukāts 29.05.2026.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Atzinumi_26-TA-201.docx</dc:title>
</cp:coreProperties>
</file>

<file path=docProps/custom.xml><?xml version="1.0" encoding="utf-8"?>
<Properties xmlns="http://schemas.openxmlformats.org/officeDocument/2006/custom-properties" xmlns:vt="http://schemas.openxmlformats.org/officeDocument/2006/docPropsVTypes"/>
</file>