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Maksimāli pieejamais ERAF finansējums vienam projektam šo noteikumu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w:t>
            </w:r>
            <w:r w:rsidR="00000000" w:rsidRPr="00000000" w:rsidDel="00000000">
              <w:rPr>
                <w:rtl w:val="0"/>
              </w:rPr>
              <w:t xml:space="preserve"> apakšpunktā minēto darbību īstenošanai katras pašvaldības teritorijā ir 2 000 000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uzbūvētu jaunu ēku vai pabeigtu jaunbūvi ar ekonomiski pamatotu dzīvokļu platību vismaz 2500 m</w:t>
            </w:r>
            <w:r w:rsidR="00000000" w:rsidRPr="00000000" w:rsidDel="00000000">
              <w:rPr>
                <w:vertAlign w:val="superscript"/>
                <w:rtl w:val="0"/>
              </w:rPr>
              <w:t xml:space="preserve">2</w:t>
            </w:r>
            <w:r w:rsidR="00000000" w:rsidRPr="00000000" w:rsidDel="00000000">
              <w:rPr>
                <w:rtl w:val="0"/>
              </w:rPr>
              <w:t xml:space="preserve">, nodrošinot A klases energoefektivitātes sasniegšanu, pilnu iekšējo aprīkojumu un teritorijas labiekārtošanu, projekta izmaksas varētu sasniegt 5 milj. euro. Tādā gadījumā 18. punktā paredzētie 2 milj. euro būs tikai 40% no projekta izmaksām un pastāv augsts risks tik ļoti vajadzīgos projektus nerealizēt.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 noteikumu 18.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Maksimāli pieejamais ERAF finansējums vienam projektam šo noteikumu 23.3. un 23.4. apakšpunktā minēto darbību īstenošanai katras pašvaldības teritorijā ir </w:t>
            </w:r>
            <w:r w:rsidR="00000000" w:rsidRPr="00000000" w:rsidDel="00000000">
              <w:rPr>
                <w:b w:val="1"/>
                <w:i w:val="1"/>
                <w:rtl w:val="0"/>
              </w:rPr>
              <w:t xml:space="preserve">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22.08.2023.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22.08.2023.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