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(turpmāk – anotācija) 1.3.sadaļas apakšsadaļā “Projekta īstenošanas un finansējuma saņemšanas nosacījumi” norādīts, ka izslēgšanas nosacījumu kontrole tiek veikta, pārbaudot attiecīgās personas sodāmību Iekšlietu ministrijas Informācijas centra pārziņā esošajā valsts informācijas sistēmā “Sodu reģistrs” (saņemot informāciju izziņas veidā) saskaņā ar zemāk norādītajām normām, kas ir ietvertas turpat anotācijā iekļautajā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projektā nav ietverti kritēriji, kas neļautu Eiropas Savienības kohēzijas politikas programmas 2021. – 2027. gadam 1.2.1. specifiskā atbalsta mērķa “Pētniecības un inovāciju kapacitātes stiprināšana un progresīvu tehnoloģiju ieviešana uzņēmumiem” 1.2.1.1. pasākuma “Atbalsts jaunu produktu attīstībai un internacionalizācijai” 1.kārtas īstenošanā piedalīties tādai personai, kas ir sodīta par anotācija 1.3.sadaļas apakšsadaļā “Projekta īstenošanas un finansējuma saņemšanas nosacījumi” ietvertajā tabulā norādītajiem noziedzīgajiem nodarījumiem vai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papildinot to ar attiecīgiem kritērijiem vai precizēt projekta anotācijas 1.3.sadaļas apakšsadaļu “Projekta īstenošanas un finansējuma saņemšanas nosacījumi”, svītrojot tajā ietverto tabulu un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nosacījumu kontrole tiek veikta, pārbaudot attiecīgās personas sodāmību Iekšlietu ministrijas Informācijas centra pārziņā esošajā valsts informācijas sistēmā “Sodu reģistrs” (saņemot informāciju izziņas veidā) saskaņā ar zemāk norādītajām normām.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vielu, kuru aprite ir aizliegta vai speciāli reglamentēta, pārvietošana pāri Latvijas Republikas valsts robežai, minētais attiecināms uz nozares ekspertu, kas, atbilstoši Krimināllikuma 190.</w:t>
            </w:r>
            <w:r w:rsidR="00000000" w:rsidRPr="00000000" w:rsidDel="00000000">
              <w:rPr>
                <w:vertAlign w:val="superscript"/>
                <w:rtl w:val="0"/>
              </w:rPr>
              <w:t xml:space="preserve">1</w:t>
            </w:r>
            <w:r w:rsidR="00000000" w:rsidRPr="00000000" w:rsidDel="00000000">
              <w:rPr>
                <w:rtl w:val="0"/>
              </w:rPr>
              <w:t xml:space="preserve"> pantam, veicis neatļautas darbības un ticis sodīts, taču neaizliedz veikt aktivitātes, ja nozares eksperts saņēmis atļauju aktivitāšu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08.07.2024.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08.07.2024.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